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5A46C">
      <w:pPr>
        <w:keepNext w:val="0"/>
        <w:keepLines w:val="0"/>
        <w:pageBreakBefore w:val="0"/>
        <w:kinsoku/>
        <w:overflowPunct/>
        <w:topLinePunct w:val="0"/>
        <w:autoSpaceDE/>
        <w:autoSpaceDN/>
        <w:bidi w:val="0"/>
        <w:adjustRightInd/>
        <w:snapToGrid/>
        <w:spacing w:line="500" w:lineRule="exact"/>
        <w:jc w:val="center"/>
        <w:textAlignment w:val="auto"/>
        <w:rPr>
          <w:rFonts w:hint="eastAsia" w:ascii="SimSong" w:hAnsi="SimSong" w:eastAsia="SimSong" w:cs="SimSong"/>
          <w:b w:val="0"/>
          <w:bCs w:val="0"/>
          <w:sz w:val="44"/>
          <w:szCs w:val="44"/>
        </w:rPr>
      </w:pPr>
      <w:r>
        <w:rPr>
          <w:rFonts w:hint="eastAsia" w:ascii="SimSong" w:hAnsi="SimSong" w:eastAsia="SimSong" w:cs="SimSong"/>
          <w:b w:val="0"/>
          <w:bCs w:val="0"/>
          <w:sz w:val="44"/>
          <w:szCs w:val="44"/>
        </w:rPr>
        <w:t>避免非正常专利申请代理机构承诺书</w:t>
      </w:r>
    </w:p>
    <w:p w14:paraId="51BFCFE7">
      <w:pPr>
        <w:keepNext w:val="0"/>
        <w:keepLines w:val="0"/>
        <w:pageBreakBefore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p>
    <w:p w14:paraId="361ACB38">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本事务所在代理以</w:t>
      </w:r>
      <w:r>
        <w:rPr>
          <w:rFonts w:hint="eastAsia" w:ascii="仿宋_GB2312" w:hAnsi="仿宋_GB2312" w:eastAsia="仿宋_GB2312" w:cs="仿宋_GB2312"/>
          <w:b w:val="0"/>
          <w:bCs w:val="0"/>
          <w:kern w:val="2"/>
          <w:sz w:val="32"/>
          <w:szCs w:val="32"/>
          <w:lang w:val="en-US" w:eastAsia="zh-CN"/>
        </w:rPr>
        <w:t>湖南工学院</w:t>
      </w:r>
      <w:r>
        <w:rPr>
          <w:rFonts w:hint="eastAsia" w:ascii="仿宋_GB2312" w:hAnsi="仿宋_GB2312" w:eastAsia="仿宋_GB2312" w:cs="仿宋_GB2312"/>
          <w:kern w:val="2"/>
          <w:sz w:val="32"/>
          <w:szCs w:val="32"/>
        </w:rPr>
        <w:t>为申请人的</w:t>
      </w:r>
      <w:r>
        <w:rPr>
          <w:rFonts w:hint="eastAsia" w:ascii="仿宋_GB2312" w:hAnsi="仿宋_GB2312" w:eastAsia="仿宋_GB2312" w:cs="仿宋_GB2312"/>
          <w:kern w:val="2"/>
          <w:sz w:val="32"/>
          <w:szCs w:val="32"/>
          <w:u w:val="single"/>
        </w:rPr>
        <w:t xml:space="preserve">            </w:t>
      </w:r>
      <w:r>
        <w:rPr>
          <w:rFonts w:hint="eastAsia" w:ascii="仿宋_GB2312" w:hAnsi="仿宋_GB2312" w:eastAsia="仿宋_GB2312" w:cs="仿宋_GB2312"/>
          <w:kern w:val="2"/>
          <w:sz w:val="32"/>
          <w:szCs w:val="32"/>
        </w:rPr>
        <w:t>（具体专利名称）专利申请过程中，遵照法律、法规和规章的有关规定，恪守诚实信用原则，不从事非正常专利申请的行为。</w:t>
      </w:r>
    </w:p>
    <w:p w14:paraId="36E64404">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本事务所承诺：</w:t>
      </w:r>
    </w:p>
    <w:p w14:paraId="19AC3ACD">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（1）不提交多件内容明显相同的专利申请。</w:t>
      </w:r>
    </w:p>
    <w:p w14:paraId="0BE8789E">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（2）不提交明显抄袭现有技术或者现有设计的专利申请。</w:t>
      </w:r>
    </w:p>
    <w:p w14:paraId="7C5D3C8A">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（3）不提交多件不同材料、组分、配比、部件等简单替换或者拼凑的专利申请。</w:t>
      </w:r>
    </w:p>
    <w:p w14:paraId="310B8886">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（4）不提交多件实验数据或者技术效果明显编造的专利申请。</w:t>
      </w:r>
    </w:p>
    <w:p w14:paraId="60A1C518">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（5）不提交多件利用计算机技术等随机生成产品形状、图案或者色彩的专利申请。</w:t>
      </w:r>
    </w:p>
    <w:p w14:paraId="69944B32">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（6）如发明人进行了专利文件修改，且需重新申请的，将及时履行主动撤回在先申请手续。</w:t>
      </w:r>
    </w:p>
    <w:p w14:paraId="54E5E7C2">
      <w:pPr>
        <w:pStyle w:val="2"/>
        <w:keepNext w:val="0"/>
        <w:keepLines w:val="0"/>
        <w:pageBreakBefore w:val="0"/>
        <w:kinsoku/>
        <w:overflowPunct/>
        <w:topLinePunct w:val="0"/>
        <w:autoSpaceDE/>
        <w:autoSpaceDN/>
        <w:bidi w:val="0"/>
        <w:adjustRightInd/>
        <w:snapToGrid/>
        <w:spacing w:before="0" w:beforeAutospacing="0" w:after="0" w:afterAutospacing="0" w:line="500" w:lineRule="exact"/>
        <w:ind w:firstLine="688" w:firstLineChars="215"/>
        <w:jc w:val="both"/>
        <w:textAlignment w:val="auto"/>
        <w:rPr>
          <w:rFonts w:hint="eastAsia" w:ascii="仿宋_GB2312" w:hAnsi="仿宋_GB2312" w:eastAsia="仿宋_GB2312" w:cs="仿宋_GB2312"/>
          <w:kern w:val="2"/>
          <w:sz w:val="32"/>
          <w:szCs w:val="32"/>
        </w:rPr>
      </w:pPr>
      <w:bookmarkStart w:id="0" w:name="OLE_LINK85"/>
      <w:bookmarkStart w:id="1" w:name="OLE_LINK86"/>
      <w:r>
        <w:rPr>
          <w:rFonts w:hint="eastAsia" w:ascii="仿宋_GB2312" w:hAnsi="仿宋_GB2312" w:eastAsia="仿宋_GB2312" w:cs="仿宋_GB2312"/>
          <w:kern w:val="2"/>
          <w:sz w:val="32"/>
          <w:szCs w:val="32"/>
        </w:rPr>
        <w:t>鉴于国家知识产权局专利局在认定非正常专利申请行为是以申请人为对象，而不是以代理机构为对象，</w:t>
      </w:r>
      <w:bookmarkEnd w:id="0"/>
      <w:bookmarkEnd w:id="1"/>
      <w:r>
        <w:rPr>
          <w:rFonts w:hint="eastAsia" w:ascii="仿宋_GB2312" w:hAnsi="仿宋_GB2312" w:eastAsia="仿宋_GB2312" w:cs="仿宋_GB2312"/>
          <w:kern w:val="2"/>
          <w:sz w:val="32"/>
          <w:szCs w:val="32"/>
        </w:rPr>
        <w:t>因此，申请人</w:t>
      </w:r>
      <w:r>
        <w:rPr>
          <w:rFonts w:hint="eastAsia" w:ascii="仿宋_GB2312" w:hAnsi="仿宋_GB2312" w:eastAsia="仿宋_GB2312" w:cs="仿宋_GB2312"/>
          <w:kern w:val="2"/>
          <w:sz w:val="32"/>
          <w:szCs w:val="32"/>
          <w:lang w:val="en-US" w:eastAsia="zh-CN"/>
        </w:rPr>
        <w:t>湖南工学院</w:t>
      </w:r>
      <w:r>
        <w:rPr>
          <w:rFonts w:hint="eastAsia" w:ascii="仿宋_GB2312" w:hAnsi="仿宋_GB2312" w:eastAsia="仿宋_GB2312" w:cs="仿宋_GB2312"/>
          <w:kern w:val="2"/>
          <w:sz w:val="32"/>
          <w:szCs w:val="32"/>
        </w:rPr>
        <w:t>在保证提供的专利申请文件均来源于真实的科学研究，不存在明显抄袭现有技术、编造技术方案的行为，不存在一稿投多家代理机构的行为，以及不存在自行或者通过其他代理机构实施非正常专利申请的行为等情况下，仅由本事务所单方面行为造成非正常专利申请的，本事务所承担所有的责任，与申请人无关，且保证会立即进行处理。</w:t>
      </w:r>
    </w:p>
    <w:p w14:paraId="5066E234">
      <w:pPr>
        <w:keepNext w:val="0"/>
        <w:keepLines w:val="0"/>
        <w:pageBreakBefore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4C1146D7">
      <w:pPr>
        <w:keepNext w:val="0"/>
        <w:keepLines w:val="0"/>
        <w:pageBreakBefore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6F6F1255">
      <w:pPr>
        <w:keepNext w:val="0"/>
        <w:keepLines w:val="0"/>
        <w:pageBreakBefore w:val="0"/>
        <w:kinsoku/>
        <w:wordWrap w:val="0"/>
        <w:overflowPunct/>
        <w:topLinePunct w:val="0"/>
        <w:autoSpaceDE/>
        <w:autoSpaceDN/>
        <w:bidi w:val="0"/>
        <w:adjustRightInd/>
        <w:snapToGrid/>
        <w:spacing w:line="500" w:lineRule="exact"/>
        <w:ind w:right="8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代理机构名称（盖章）：</w:t>
      </w:r>
      <w:r>
        <w:rPr>
          <w:rFonts w:hint="eastAsia" w:hAnsi="仿宋_GB2312" w:cs="仿宋_GB2312"/>
          <w:sz w:val="32"/>
          <w:szCs w:val="32"/>
          <w:lang w:val="en-US" w:eastAsia="zh-CN"/>
        </w:rPr>
        <w:t xml:space="preserve">     </w:t>
      </w:r>
    </w:p>
    <w:p w14:paraId="0FAC90A6">
      <w:pPr>
        <w:keepNext w:val="0"/>
        <w:keepLines w:val="0"/>
        <w:pageBreakBefore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bookmarkStart w:id="2" w:name="_GoBack"/>
      <w:bookmarkEnd w:id="2"/>
    </w:p>
    <w:sectPr>
      <w:pgSz w:w="11906" w:h="16838"/>
      <w:pgMar w:top="964"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roman"/>
    <w:pitch w:val="default"/>
    <w:sig w:usb0="FFFFFFFF" w:usb1="E9FFFFFF" w:usb2="0000003F" w:usb3="00000000" w:csb0="603F01FF" w:csb1="FFFF0000"/>
  </w:font>
  <w:font w:name="SimSong">
    <w:panose1 w:val="02020300000000000000"/>
    <w:charset w:val="86"/>
    <w:family w:val="auto"/>
    <w:pitch w:val="default"/>
    <w:sig w:usb0="800002BF" w:usb1="38CF7CFA" w:usb2="00000016" w:usb3="00000000" w:csb0="0004000D"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10485"/>
    <w:rsid w:val="3FB906CF"/>
    <w:rsid w:val="87BBA148"/>
    <w:rsid w:val="EF710485"/>
    <w:rsid w:val="FED7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2026-04-08T03:15:00Z</dcterms:created>
  <dc:creator>关骞</dc:creator>
  <cp:lastModifiedBy>关骞</cp:lastModifiedBy>
  <dcterms:modified xsi:type="dcterms:W3CDTF">2026-04-07T15:22:27Z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389E799C1FAEA3FBC676D4692EDE385C_41</vt:lpwstr>
  </property>
</Properties>
</file>