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themeColor="text1"/>
          <w:sz w:val="44"/>
          <w:szCs w:val="44"/>
          <w14:textFill>
            <w14:solidFill>
              <w14:schemeClr w14:val="tx1"/>
            </w14:solidFill>
          </w14:textFill>
        </w:rPr>
      </w:pPr>
    </w:p>
    <w:p>
      <w:pPr>
        <w:jc w:val="center"/>
        <w:rPr>
          <w:b/>
          <w:color w:val="000000" w:themeColor="text1"/>
          <w:sz w:val="44"/>
          <w:szCs w:val="44"/>
          <w14:textFill>
            <w14:solidFill>
              <w14:schemeClr w14:val="tx1"/>
            </w14:solidFill>
          </w14:textFill>
        </w:rPr>
      </w:pPr>
    </w:p>
    <w:p>
      <w:pPr>
        <w:jc w:val="center"/>
        <w:rPr>
          <w:b/>
          <w:color w:val="000000" w:themeColor="text1"/>
          <w:sz w:val="44"/>
          <w:szCs w:val="44"/>
          <w14:textFill>
            <w14:solidFill>
              <w14:schemeClr w14:val="tx1"/>
            </w14:solidFill>
          </w14:textFill>
        </w:rPr>
      </w:pPr>
    </w:p>
    <w:p>
      <w:pPr>
        <w:jc w:val="center"/>
        <w:rPr>
          <w:b/>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960" w:lineRule="auto"/>
        <w:ind w:left="0" w:leftChars="0" w:right="0" w:rightChars="0" w:firstLine="0" w:firstLineChars="0"/>
        <w:jc w:val="center"/>
        <w:textAlignment w:val="auto"/>
        <w:outlineLvl w:val="9"/>
        <w:rPr>
          <w:b/>
          <w:color w:val="000000" w:themeColor="text1"/>
          <w:sz w:val="48"/>
          <w:szCs w:val="48"/>
          <w14:textFill>
            <w14:solidFill>
              <w14:schemeClr w14:val="tx1"/>
            </w14:solidFill>
          </w14:textFill>
        </w:rPr>
      </w:pPr>
      <w:r>
        <w:rPr>
          <w:rFonts w:hint="eastAsia"/>
          <w:b/>
          <w:color w:val="000000" w:themeColor="text1"/>
          <w:sz w:val="48"/>
          <w:szCs w:val="48"/>
          <w:lang w:eastAsia="zh-CN"/>
          <w14:textFill>
            <w14:solidFill>
              <w14:schemeClr w14:val="tx1"/>
            </w14:solidFill>
          </w14:textFill>
        </w:rPr>
        <w:t>“</w:t>
      </w:r>
      <w:r>
        <w:rPr>
          <w:rFonts w:hint="eastAsia"/>
          <w:b/>
          <w:color w:val="000000" w:themeColor="text1"/>
          <w:sz w:val="48"/>
          <w:szCs w:val="48"/>
          <w14:textFill>
            <w14:solidFill>
              <w14:schemeClr w14:val="tx1"/>
            </w14:solidFill>
          </w14:textFill>
        </w:rPr>
        <w:t>金霞</w:t>
      </w:r>
      <w:r>
        <w:rPr>
          <w:b/>
          <w:color w:val="000000" w:themeColor="text1"/>
          <w:sz w:val="48"/>
          <w:szCs w:val="48"/>
          <w14:textFill>
            <w14:solidFill>
              <w14:schemeClr w14:val="tx1"/>
            </w14:solidFill>
          </w14:textFill>
        </w:rPr>
        <w:t>杯</w:t>
      </w:r>
      <w:r>
        <w:rPr>
          <w:rFonts w:hint="eastAsia"/>
          <w:b/>
          <w:color w:val="000000" w:themeColor="text1"/>
          <w:sz w:val="48"/>
          <w:szCs w:val="48"/>
          <w:lang w:eastAsia="zh-CN"/>
          <w14:textFill>
            <w14:solidFill>
              <w14:schemeClr w14:val="tx1"/>
            </w14:solidFill>
          </w14:textFill>
        </w:rPr>
        <w:t>”</w:t>
      </w:r>
      <w:r>
        <w:rPr>
          <w:b/>
          <w:color w:val="000000" w:themeColor="text1"/>
          <w:sz w:val="48"/>
          <w:szCs w:val="48"/>
          <w14:textFill>
            <w14:solidFill>
              <w14:schemeClr w14:val="tx1"/>
            </w14:solidFill>
          </w14:textFill>
        </w:rPr>
        <w:t>第</w:t>
      </w:r>
      <w:r>
        <w:rPr>
          <w:rFonts w:hint="eastAsia"/>
          <w:b/>
          <w:color w:val="000000" w:themeColor="text1"/>
          <w:sz w:val="48"/>
          <w:szCs w:val="48"/>
          <w14:textFill>
            <w14:solidFill>
              <w14:schemeClr w14:val="tx1"/>
            </w14:solidFill>
          </w14:textFill>
        </w:rPr>
        <w:t>二</w:t>
      </w:r>
      <w:r>
        <w:rPr>
          <w:b/>
          <w:color w:val="000000" w:themeColor="text1"/>
          <w:sz w:val="48"/>
          <w:szCs w:val="48"/>
          <w14:textFill>
            <w14:solidFill>
              <w14:schemeClr w14:val="tx1"/>
            </w14:solidFill>
          </w14:textFill>
        </w:rPr>
        <w:t>届</w:t>
      </w:r>
    </w:p>
    <w:p>
      <w:pPr>
        <w:keepNext w:val="0"/>
        <w:keepLines w:val="0"/>
        <w:pageBreakBefore w:val="0"/>
        <w:widowControl w:val="0"/>
        <w:kinsoku/>
        <w:wordWrap/>
        <w:overflowPunct/>
        <w:topLinePunct w:val="0"/>
        <w:autoSpaceDE/>
        <w:autoSpaceDN/>
        <w:bidi w:val="0"/>
        <w:adjustRightInd/>
        <w:snapToGrid/>
        <w:spacing w:line="960" w:lineRule="auto"/>
        <w:ind w:left="0" w:leftChars="0" w:right="0" w:rightChars="0" w:firstLine="0" w:firstLineChars="0"/>
        <w:jc w:val="center"/>
        <w:textAlignment w:val="auto"/>
        <w:outlineLvl w:val="9"/>
        <w:rPr>
          <w:b/>
          <w:color w:val="000000" w:themeColor="text1"/>
          <w:sz w:val="48"/>
          <w:szCs w:val="48"/>
          <w14:textFill>
            <w14:solidFill>
              <w14:schemeClr w14:val="tx1"/>
            </w14:solidFill>
          </w14:textFill>
        </w:rPr>
      </w:pPr>
      <w:r>
        <w:rPr>
          <w:rFonts w:hint="eastAsia"/>
          <w:b/>
          <w:color w:val="000000" w:themeColor="text1"/>
          <w:sz w:val="48"/>
          <w:szCs w:val="48"/>
          <w14:textFill>
            <w14:solidFill>
              <w14:schemeClr w14:val="tx1"/>
            </w14:solidFill>
          </w14:textFill>
        </w:rPr>
        <w:t>湖南省</w:t>
      </w:r>
      <w:r>
        <w:rPr>
          <w:b/>
          <w:color w:val="000000" w:themeColor="text1"/>
          <w:sz w:val="48"/>
          <w:szCs w:val="48"/>
          <w14:textFill>
            <w14:solidFill>
              <w14:schemeClr w14:val="tx1"/>
            </w14:solidFill>
          </w14:textFill>
        </w:rPr>
        <w:t>大学生</w:t>
      </w:r>
      <w:r>
        <w:rPr>
          <w:rFonts w:hint="eastAsia"/>
          <w:b/>
          <w:color w:val="000000" w:themeColor="text1"/>
          <w:sz w:val="48"/>
          <w:szCs w:val="48"/>
          <w14:textFill>
            <w14:solidFill>
              <w14:schemeClr w14:val="tx1"/>
            </w14:solidFill>
          </w14:textFill>
        </w:rPr>
        <w:t>现代</w:t>
      </w:r>
      <w:r>
        <w:rPr>
          <w:b/>
          <w:color w:val="000000" w:themeColor="text1"/>
          <w:sz w:val="48"/>
          <w:szCs w:val="48"/>
          <w14:textFill>
            <w14:solidFill>
              <w14:schemeClr w14:val="tx1"/>
            </w14:solidFill>
          </w14:textFill>
        </w:rPr>
        <w:t>物流设计大赛案例</w:t>
      </w:r>
    </w:p>
    <w:p>
      <w:pPr>
        <w:jc w:val="center"/>
        <w:rPr>
          <w:b/>
          <w:color w:val="000000" w:themeColor="text1"/>
          <w:sz w:val="32"/>
          <w:szCs w:val="32"/>
          <w14:textFill>
            <w14:solidFill>
              <w14:schemeClr w14:val="tx1"/>
            </w14:solidFill>
          </w14:textFill>
        </w:rPr>
      </w:pPr>
      <w:bookmarkStart w:id="4" w:name="_GoBack"/>
      <w:bookmarkEnd w:id="4"/>
    </w:p>
    <w:p>
      <w:pPr>
        <w:jc w:val="center"/>
        <w:rPr>
          <w:b/>
          <w:color w:val="000000" w:themeColor="text1"/>
          <w:sz w:val="44"/>
          <w:szCs w:val="44"/>
          <w14:textFill>
            <w14:solidFill>
              <w14:schemeClr w14:val="tx1"/>
            </w14:solidFill>
          </w14:textFill>
        </w:rPr>
      </w:pPr>
    </w:p>
    <w:p>
      <w:pPr>
        <w:jc w:val="center"/>
        <w:rPr>
          <w:b/>
          <w:color w:val="000000" w:themeColor="text1"/>
          <w:sz w:val="44"/>
          <w:szCs w:val="44"/>
          <w14:textFill>
            <w14:solidFill>
              <w14:schemeClr w14:val="tx1"/>
            </w14:solidFill>
          </w14:textFill>
        </w:rPr>
      </w:pPr>
    </w:p>
    <w:p>
      <w:pPr>
        <w:jc w:val="center"/>
        <w:rPr>
          <w:b/>
          <w:color w:val="000000" w:themeColor="text1"/>
          <w:sz w:val="44"/>
          <w:szCs w:val="44"/>
          <w14:textFill>
            <w14:solidFill>
              <w14:schemeClr w14:val="tx1"/>
            </w14:solidFill>
          </w14:textFill>
        </w:rPr>
      </w:pPr>
    </w:p>
    <w:p>
      <w:pPr>
        <w:jc w:val="center"/>
        <w:rPr>
          <w:b/>
          <w:color w:val="000000" w:themeColor="text1"/>
          <w:sz w:val="32"/>
          <w:szCs w:val="32"/>
          <w14:textFill>
            <w14:solidFill>
              <w14:schemeClr w14:val="tx1"/>
            </w14:solidFill>
          </w14:textFill>
        </w:rPr>
      </w:pPr>
    </w:p>
    <w:p>
      <w:pPr>
        <w:jc w:val="both"/>
        <w:rPr>
          <w:b/>
          <w:color w:val="000000" w:themeColor="text1"/>
          <w:sz w:val="32"/>
          <w:szCs w:val="32"/>
          <w14:textFill>
            <w14:solidFill>
              <w14:schemeClr w14:val="tx1"/>
            </w14:solidFill>
          </w14:textFill>
        </w:rPr>
      </w:pPr>
    </w:p>
    <w:p>
      <w:pPr>
        <w:jc w:val="center"/>
        <w:rPr>
          <w:b/>
          <w:color w:val="000000" w:themeColor="text1"/>
          <w:sz w:val="32"/>
          <w:szCs w:val="32"/>
          <w14:textFill>
            <w14:solidFill>
              <w14:schemeClr w14:val="tx1"/>
            </w14:solidFill>
          </w14:textFill>
        </w:rPr>
      </w:pPr>
    </w:p>
    <w:p>
      <w:pPr>
        <w:jc w:val="center"/>
        <w:rPr>
          <w:b/>
          <w:color w:val="000000" w:themeColor="text1"/>
          <w:sz w:val="32"/>
          <w:szCs w:val="32"/>
          <w14:textFill>
            <w14:solidFill>
              <w14:schemeClr w14:val="tx1"/>
            </w14:solidFill>
          </w14:textFill>
        </w:rPr>
      </w:pPr>
    </w:p>
    <w:p>
      <w:pPr>
        <w:jc w:val="both"/>
        <w:rPr>
          <w:b/>
          <w:color w:val="000000" w:themeColor="text1"/>
          <w:sz w:val="32"/>
          <w:szCs w:val="32"/>
          <w14:textFill>
            <w14:solidFill>
              <w14:schemeClr w14:val="tx1"/>
            </w14:solidFill>
          </w14:textFill>
        </w:rPr>
      </w:pPr>
    </w:p>
    <w:p>
      <w:pPr>
        <w:rPr>
          <w:color w:val="000000" w:themeColor="text1"/>
          <w:sz w:val="18"/>
          <w:szCs w:val="18"/>
          <w14:textFill>
            <w14:solidFill>
              <w14:schemeClr w14:val="tx1"/>
            </w14:solidFill>
          </w14:textFill>
        </w:rPr>
      </w:pPr>
    </w:p>
    <w:p>
      <w:pPr>
        <w:jc w:val="cente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湖南省物流与采购联合会</w:t>
      </w:r>
    </w:p>
    <w:p>
      <w:pPr>
        <w:jc w:val="center"/>
        <w:rPr>
          <w:color w:val="000000" w:themeColor="text1"/>
          <w:sz w:val="32"/>
          <w:szCs w:val="32"/>
          <w14:textFill>
            <w14:solidFill>
              <w14:schemeClr w14:val="tx1"/>
            </w14:solidFill>
          </w14:textFill>
        </w:rPr>
      </w:pPr>
      <w:r>
        <w:rPr>
          <w:rFonts w:hint="eastAsia"/>
          <w:color w:val="000000" w:themeColor="text1"/>
          <w:sz w:val="32"/>
          <w:szCs w:val="32"/>
          <w14:textFill>
            <w14:solidFill>
              <w14:schemeClr w14:val="tx1"/>
            </w14:solidFill>
          </w14:textFill>
        </w:rPr>
        <w:t>湖南省物流教育与科技专业委员会</w:t>
      </w:r>
    </w:p>
    <w:p>
      <w:pPr>
        <w:jc w:val="center"/>
        <w:rPr>
          <w:color w:val="000000" w:themeColor="text1"/>
          <w14:textFill>
            <w14:solidFill>
              <w14:schemeClr w14:val="tx1"/>
            </w14:solidFill>
          </w14:textFill>
        </w:rPr>
      </w:pPr>
    </w:p>
    <w:p>
      <w:pPr>
        <w:jc w:val="center"/>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color w:val="000000" w:themeColor="text1"/>
          <w:sz w:val="32"/>
          <w:szCs w:val="32"/>
          <w14:textFill>
            <w14:solidFill>
              <w14:schemeClr w14:val="tx1"/>
            </w14:solidFill>
          </w14:textFill>
        </w:rPr>
        <w:t>2017年5月</w:t>
      </w:r>
    </w:p>
    <w:p>
      <w:pPr>
        <w:rPr>
          <w:color w:val="000000" w:themeColor="text1"/>
          <w14:textFill>
            <w14:solidFill>
              <w14:schemeClr w14:val="tx1"/>
            </w14:solidFill>
          </w14:textFill>
        </w:rPr>
        <w:sectPr>
          <w:footerReference r:id="rId5" w:type="first"/>
          <w:headerReference r:id="rId3" w:type="default"/>
          <w:footerReference r:id="rId4" w:type="even"/>
          <w:pgSz w:w="11906" w:h="16838"/>
          <w:pgMar w:top="1440" w:right="1466" w:bottom="1440" w:left="1800" w:header="851" w:footer="992" w:gutter="0"/>
          <w:pgNumType w:fmt="decimal" w:start="4"/>
          <w:cols w:space="425" w:num="1"/>
          <w:docGrid w:type="lines" w:linePitch="312" w:charSpace="0"/>
        </w:sect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p>
    <w:p>
      <w:pPr>
        <w:jc w:val="center"/>
        <w:rPr>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w:t>
      </w:r>
      <w:r>
        <w:rPr>
          <w:rFonts w:hint="eastAsia"/>
          <w:color w:val="000000" w:themeColor="text1"/>
          <w:sz w:val="32"/>
          <w:szCs w:val="32"/>
          <w14:textFill>
            <w14:solidFill>
              <w14:schemeClr w14:val="tx1"/>
            </w14:solidFill>
          </w14:textFill>
        </w:rPr>
        <w:t>金霞</w:t>
      </w:r>
      <w:r>
        <w:rPr>
          <w:color w:val="000000" w:themeColor="text1"/>
          <w:sz w:val="32"/>
          <w:szCs w:val="32"/>
          <w14:textFill>
            <w14:solidFill>
              <w14:schemeClr w14:val="tx1"/>
            </w14:solidFill>
          </w14:textFill>
        </w:rPr>
        <w:t>杯”第</w:t>
      </w:r>
      <w:r>
        <w:rPr>
          <w:rFonts w:hint="eastAsia"/>
          <w:color w:val="000000" w:themeColor="text1"/>
          <w:sz w:val="32"/>
          <w:szCs w:val="32"/>
          <w14:textFill>
            <w14:solidFill>
              <w14:schemeClr w14:val="tx1"/>
            </w14:solidFill>
          </w14:textFill>
        </w:rPr>
        <w:t>二</w:t>
      </w:r>
      <w:r>
        <w:rPr>
          <w:color w:val="000000" w:themeColor="text1"/>
          <w:sz w:val="32"/>
          <w:szCs w:val="32"/>
          <w14:textFill>
            <w14:solidFill>
              <w14:schemeClr w14:val="tx1"/>
            </w14:solidFill>
          </w14:textFill>
        </w:rPr>
        <w:t>届</w:t>
      </w:r>
      <w:r>
        <w:rPr>
          <w:rFonts w:hint="eastAsia"/>
          <w:color w:val="000000" w:themeColor="text1"/>
          <w:sz w:val="32"/>
          <w:szCs w:val="32"/>
          <w14:textFill>
            <w14:solidFill>
              <w14:schemeClr w14:val="tx1"/>
            </w14:solidFill>
          </w14:textFill>
        </w:rPr>
        <w:t>湖南省</w:t>
      </w:r>
      <w:r>
        <w:rPr>
          <w:color w:val="000000" w:themeColor="text1"/>
          <w:sz w:val="32"/>
          <w:szCs w:val="32"/>
          <w14:textFill>
            <w14:solidFill>
              <w14:schemeClr w14:val="tx1"/>
            </w14:solidFill>
          </w14:textFill>
        </w:rPr>
        <w:t>大学生</w:t>
      </w:r>
      <w:r>
        <w:rPr>
          <w:rFonts w:hint="eastAsia"/>
          <w:color w:val="000000" w:themeColor="text1"/>
          <w:sz w:val="32"/>
          <w:szCs w:val="32"/>
          <w14:textFill>
            <w14:solidFill>
              <w14:schemeClr w14:val="tx1"/>
            </w14:solidFill>
          </w14:textFill>
        </w:rPr>
        <w:t>现代</w:t>
      </w:r>
      <w:r>
        <w:rPr>
          <w:color w:val="000000" w:themeColor="text1"/>
          <w:sz w:val="32"/>
          <w:szCs w:val="32"/>
          <w14:textFill>
            <w14:solidFill>
              <w14:schemeClr w14:val="tx1"/>
            </w14:solidFill>
          </w14:textFill>
        </w:rPr>
        <w:t>物流设计大赛案例</w:t>
      </w:r>
    </w:p>
    <w:p>
      <w:pPr>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rPr>
          <w:color w:val="000000" w:themeColor="text1"/>
          <w:sz w:val="44"/>
          <w:szCs w:val="44"/>
          <w14:textFill>
            <w14:solidFill>
              <w14:schemeClr w14:val="tx1"/>
            </w14:solidFill>
          </w14:textFill>
        </w:rPr>
      </w:pPr>
    </w:p>
    <w:p>
      <w:pPr>
        <w:jc w:val="center"/>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编写说明</w:t>
      </w:r>
    </w:p>
    <w:p>
      <w:pPr>
        <w:pStyle w:val="8"/>
        <w:spacing w:line="360" w:lineRule="auto"/>
        <w:ind w:firstLine="560" w:firstLineChars="200"/>
        <w:rPr>
          <w:color w:val="000000" w:themeColor="text1"/>
          <w:sz w:val="28"/>
          <w:szCs w:val="28"/>
          <w14:textFill>
            <w14:solidFill>
              <w14:schemeClr w14:val="tx1"/>
            </w14:solidFill>
          </w14:textFill>
        </w:rPr>
      </w:pPr>
    </w:p>
    <w:p>
      <w:pPr>
        <w:pStyle w:val="8"/>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本案例仅供本次大赛使用，任何形式的转载均需要经过大赛组委会授权，严禁擅自摘抄使用。</w:t>
      </w:r>
    </w:p>
    <w:p>
      <w:pPr>
        <w:pStyle w:val="8"/>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由于企业保密的要求，在本案例中对有关名称、数据等做了必要的掩饰性处理。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本案例只供</w:t>
      </w:r>
      <w:r>
        <w:rPr>
          <w:rFonts w:hint="eastAsia"/>
          <w:color w:val="000000" w:themeColor="text1"/>
          <w:sz w:val="24"/>
          <w14:textFill>
            <w14:solidFill>
              <w14:schemeClr w14:val="tx1"/>
            </w14:solidFill>
          </w14:textFill>
        </w:rPr>
        <w:t>湖南省</w:t>
      </w:r>
      <w:r>
        <w:rPr>
          <w:color w:val="000000" w:themeColor="text1"/>
          <w:sz w:val="24"/>
          <w14:textFill>
            <w14:solidFill>
              <w14:schemeClr w14:val="tx1"/>
            </w14:solidFill>
          </w14:textFill>
        </w:rPr>
        <w:t>大学生</w:t>
      </w:r>
      <w:r>
        <w:rPr>
          <w:rFonts w:hint="eastAsia"/>
          <w:color w:val="000000" w:themeColor="text1"/>
          <w:sz w:val="24"/>
          <w14:textFill>
            <w14:solidFill>
              <w14:schemeClr w14:val="tx1"/>
            </w14:solidFill>
          </w14:textFill>
        </w:rPr>
        <w:t>现代</w:t>
      </w:r>
      <w:r>
        <w:rPr>
          <w:color w:val="000000" w:themeColor="text1"/>
          <w:sz w:val="24"/>
          <w14:textFill>
            <w14:solidFill>
              <w14:schemeClr w14:val="tx1"/>
            </w14:solidFill>
          </w14:textFill>
        </w:rPr>
        <w:t>物流设计大赛的比赛之用，并无意暗示或说明某种管理行为是否有效。</w:t>
      </w:r>
    </w:p>
    <w:p>
      <w:pPr>
        <w:spacing w:line="360" w:lineRule="auto"/>
        <w:ind w:firstLine="420" w:firstLineChars="200"/>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both"/>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spacing w:line="360" w:lineRule="auto"/>
        <w:jc w:val="center"/>
        <w:rPr>
          <w:color w:val="000000" w:themeColor="text1"/>
          <w14:textFill>
            <w14:solidFill>
              <w14:schemeClr w14:val="tx1"/>
            </w14:solidFill>
          </w14:textFill>
        </w:rPr>
      </w:pPr>
    </w:p>
    <w:p>
      <w:pPr>
        <w:jc w:val="center"/>
        <w:rPr>
          <w:rFonts w:hint="eastAsia"/>
          <w:color w:val="000000" w:themeColor="text1"/>
          <w:sz w:val="32"/>
          <w:szCs w:val="32"/>
          <w14:textFill>
            <w14:solidFill>
              <w14:schemeClr w14:val="tx1"/>
            </w14:solidFill>
          </w14:textFill>
        </w:rPr>
      </w:pPr>
      <w:r>
        <w:rPr>
          <w:rFonts w:hint="eastAsia"/>
          <w:color w:val="000000" w:themeColor="text1"/>
          <w:sz w:val="28"/>
          <w:szCs w:val="28"/>
          <w14:textFill>
            <w14:solidFill>
              <w14:schemeClr w14:val="tx1"/>
            </w14:solidFill>
          </w14:textFill>
        </w:rPr>
        <w:t>“金霞杯”第二届湖南省大学生现代物流设计大赛案例编写小组</w:t>
      </w:r>
    </w:p>
    <w:p>
      <w:pPr>
        <w:spacing w:line="360" w:lineRule="auto"/>
        <w:jc w:val="center"/>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2017年5月</w:t>
      </w:r>
    </w:p>
    <w:p>
      <w:pPr>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br w:type="page"/>
      </w:r>
    </w:p>
    <w:p>
      <w:pPr>
        <w:tabs>
          <w:tab w:val="left" w:pos="420"/>
        </w:tabs>
        <w:autoSpaceDE w:val="0"/>
        <w:autoSpaceDN w:val="0"/>
        <w:adjustRightInd w:val="0"/>
        <w:snapToGrid w:val="0"/>
        <w:spacing w:line="360" w:lineRule="auto"/>
        <w:jc w:val="center"/>
        <w:outlineLvl w:val="0"/>
        <w:rPr>
          <w:rFonts w:hint="eastAsia"/>
          <w:b/>
          <w:color w:val="000000" w:themeColor="text1"/>
          <w:sz w:val="32"/>
          <w:szCs w:val="32"/>
          <w:lang w:val="en-US" w:eastAsia="zh-CN"/>
          <w14:textFill>
            <w14:solidFill>
              <w14:schemeClr w14:val="tx1"/>
            </w14:solidFill>
          </w14:textFill>
        </w:rPr>
      </w:pPr>
    </w:p>
    <w:p>
      <w:pPr>
        <w:tabs>
          <w:tab w:val="left" w:pos="420"/>
        </w:tabs>
        <w:autoSpaceDE w:val="0"/>
        <w:autoSpaceDN w:val="0"/>
        <w:adjustRightInd w:val="0"/>
        <w:snapToGrid w:val="0"/>
        <w:spacing w:line="360" w:lineRule="auto"/>
        <w:jc w:val="center"/>
        <w:outlineLvl w:val="0"/>
        <w:rPr>
          <w:rFonts w:hint="eastAsia"/>
          <w:b/>
          <w:color w:val="000000" w:themeColor="text1"/>
          <w:sz w:val="32"/>
          <w:szCs w:val="32"/>
          <w:lang w:val="en-US" w:eastAsia="zh-CN"/>
          <w14:textFill>
            <w14:solidFill>
              <w14:schemeClr w14:val="tx1"/>
            </w14:solidFill>
          </w14:textFill>
        </w:rPr>
      </w:pPr>
      <w:r>
        <w:rPr>
          <w:rFonts w:hint="eastAsia"/>
          <w:b/>
          <w:color w:val="000000" w:themeColor="text1"/>
          <w:sz w:val="32"/>
          <w:szCs w:val="32"/>
          <w:lang w:val="en-US" w:eastAsia="zh-CN"/>
          <w14:textFill>
            <w14:solidFill>
              <w14:schemeClr w14:val="tx1"/>
            </w14:solidFill>
          </w14:textFill>
        </w:rPr>
        <w:t>比赛内容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各</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参赛队</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须</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在案例中选择不超过2个案例进行设计，形成完整的设计方案。设计方案可以是文字材料、数学模型、软件或工程设计等。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案例背景材料1：打造</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金霞物流谷</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、筑梦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一带一路</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案例背景材料2：小潘的烦恼：为何快线不快</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案例背景材料3：医药物流</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softHyphen/>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——路在何方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案例背景材料4：新医改下国药控股湖南公司供应链管理的思考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案例背景材料5：湘欧快线多式联运系统建设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案例背景材料6：长沙医药健康产业园共同配送体系的建设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大赛案例于2017年5月26日在“2017金霞杯物流设计大赛”QQ工作群进行公布。参赛队需在规定的时间内，按照《关于举办“金霞杯”第二届湖南省大学生现代物流设计大赛的通知》（2017年5月26日发布）的第五条竞赛流程，将设计方案作为参赛作品发送至大赛电子邮箱hnwlsjds@vip.163.com。入围决赛的参赛队，还将参加在决赛承办地点（另行通知）举办的现场答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p>
    <w:p>
      <w:pPr>
        <w:rPr>
          <w:color w:val="000000" w:themeColor="text1"/>
          <w14:textFill>
            <w14:solidFill>
              <w14:schemeClr w14:val="tx1"/>
            </w14:solidFill>
          </w14:textFill>
        </w:rPr>
        <w:sectPr>
          <w:footerReference r:id="rId7" w:type="first"/>
          <w:footerReference r:id="rId6" w:type="default"/>
          <w:pgSz w:w="11906" w:h="16838"/>
          <w:pgMar w:top="1440" w:right="1800" w:bottom="1440" w:left="1800" w:header="851" w:footer="992" w:gutter="0"/>
          <w:pgNumType w:fmt="decimal"/>
          <w:cols w:space="425" w:num="1"/>
          <w:titlePg/>
          <w:docGrid w:type="lines" w:linePitch="312" w:charSpace="0"/>
        </w:sectPr>
      </w:pPr>
    </w:p>
    <w:p>
      <w:pPr>
        <w:tabs>
          <w:tab w:val="left" w:pos="420"/>
        </w:tabs>
        <w:autoSpaceDE w:val="0"/>
        <w:autoSpaceDN w:val="0"/>
        <w:adjustRightInd w:val="0"/>
        <w:snapToGrid w:val="0"/>
        <w:spacing w:line="360" w:lineRule="auto"/>
        <w:jc w:val="center"/>
        <w:outlineLvl w:val="0"/>
        <w:rPr>
          <w:rFonts w:hint="default" w:ascii="黑体" w:hAnsi="黑体" w:eastAsia="黑体"/>
          <w:b/>
          <w:color w:val="000000" w:themeColor="text1"/>
          <w:sz w:val="36"/>
          <w:szCs w:val="36"/>
          <w:lang w:val="zh-CN" w:eastAsia="zh-CN"/>
          <w14:textFill>
            <w14:solidFill>
              <w14:schemeClr w14:val="tx1"/>
            </w14:solidFill>
          </w14:textFill>
        </w:rPr>
      </w:pPr>
      <w:r>
        <w:rPr>
          <w:rFonts w:hint="eastAsia" w:ascii="黑体" w:hAnsi="黑体" w:eastAsia="黑体"/>
          <w:b/>
          <w:color w:val="000000" w:themeColor="text1"/>
          <w:sz w:val="36"/>
          <w:szCs w:val="36"/>
          <w:lang w:val="zh-CN" w:eastAsia="zh-CN"/>
          <w14:textFill>
            <w14:solidFill>
              <w14:schemeClr w14:val="tx1"/>
            </w14:solidFill>
          </w14:textFill>
        </w:rPr>
        <w:t>案</w:t>
      </w:r>
      <w:r>
        <w:rPr>
          <w:rFonts w:hint="eastAsia" w:ascii="黑体" w:hAnsi="黑体" w:eastAsia="黑体"/>
          <w:b/>
          <w:color w:val="000000" w:themeColor="text1"/>
          <w:sz w:val="36"/>
          <w:szCs w:val="36"/>
          <w:lang w:val="en-US" w:eastAsia="zh-CN"/>
          <w14:textFill>
            <w14:solidFill>
              <w14:schemeClr w14:val="tx1"/>
            </w14:solidFill>
          </w14:textFill>
        </w:rPr>
        <w:t xml:space="preserve"> </w:t>
      </w:r>
      <w:r>
        <w:rPr>
          <w:rFonts w:hint="eastAsia" w:ascii="黑体" w:hAnsi="黑体" w:eastAsia="黑体"/>
          <w:b/>
          <w:color w:val="000000" w:themeColor="text1"/>
          <w:sz w:val="36"/>
          <w:szCs w:val="36"/>
          <w:lang w:val="zh-CN" w:eastAsia="zh-CN"/>
          <w14:textFill>
            <w14:solidFill>
              <w14:schemeClr w14:val="tx1"/>
            </w14:solidFill>
          </w14:textFill>
        </w:rPr>
        <w:t>例</w:t>
      </w:r>
      <w:r>
        <w:rPr>
          <w:rFonts w:hint="eastAsia" w:ascii="黑体" w:hAnsi="黑体" w:eastAsia="黑体"/>
          <w:b/>
          <w:color w:val="000000" w:themeColor="text1"/>
          <w:sz w:val="36"/>
          <w:szCs w:val="36"/>
          <w:lang w:val="en-US" w:eastAsia="zh-CN"/>
          <w14:textFill>
            <w14:solidFill>
              <w14:schemeClr w14:val="tx1"/>
            </w14:solidFill>
          </w14:textFill>
        </w:rPr>
        <w:t xml:space="preserve"> </w:t>
      </w:r>
      <w:r>
        <w:rPr>
          <w:rFonts w:hint="default" w:ascii="黑体" w:hAnsi="黑体" w:eastAsia="黑体"/>
          <w:b/>
          <w:color w:val="000000" w:themeColor="text1"/>
          <w:sz w:val="36"/>
          <w:szCs w:val="36"/>
          <w:lang w:val="zh-CN" w:eastAsia="zh-CN"/>
          <w14:textFill>
            <w14:solidFill>
              <w14:schemeClr w14:val="tx1"/>
            </w14:solidFill>
          </w14:textFill>
        </w:rPr>
        <w:t>目</w:t>
      </w:r>
      <w:r>
        <w:rPr>
          <w:rFonts w:hint="eastAsia" w:ascii="黑体" w:hAnsi="黑体" w:eastAsia="黑体"/>
          <w:b/>
          <w:color w:val="000000" w:themeColor="text1"/>
          <w:sz w:val="36"/>
          <w:szCs w:val="36"/>
          <w:lang w:val="zh-CN" w:eastAsia="zh-CN"/>
          <w14:textFill>
            <w14:solidFill>
              <w14:schemeClr w14:val="tx1"/>
            </w14:solidFill>
          </w14:textFill>
        </w:rPr>
        <w:t xml:space="preserve"> </w:t>
      </w:r>
      <w:r>
        <w:rPr>
          <w:rFonts w:hint="default" w:ascii="黑体" w:hAnsi="黑体" w:eastAsia="黑体"/>
          <w:b/>
          <w:color w:val="000000" w:themeColor="text1"/>
          <w:sz w:val="36"/>
          <w:szCs w:val="36"/>
          <w:lang w:val="zh-CN" w:eastAsia="zh-CN"/>
          <w14:textFill>
            <w14:solidFill>
              <w14:schemeClr w14:val="tx1"/>
            </w14:solidFill>
          </w14:textFill>
        </w:rPr>
        <w:t>录</w:t>
      </w:r>
    </w:p>
    <w:tbl>
      <w:tblPr>
        <w:tblStyle w:val="12"/>
        <w:tblW w:w="9961" w:type="dxa"/>
        <w:jc w:val="center"/>
        <w:tblInd w:w="-72" w:type="dxa"/>
        <w:tblLayout w:type="fixed"/>
        <w:tblCellMar>
          <w:top w:w="0" w:type="dxa"/>
          <w:left w:w="108" w:type="dxa"/>
          <w:bottom w:w="0" w:type="dxa"/>
          <w:right w:w="108" w:type="dxa"/>
        </w:tblCellMar>
      </w:tblPr>
      <w:tblGrid>
        <w:gridCol w:w="6827"/>
        <w:gridCol w:w="1233"/>
        <w:gridCol w:w="1901"/>
      </w:tblGrid>
      <w:tr>
        <w:tblPrEx>
          <w:tblLayout w:type="fixed"/>
          <w:tblCellMar>
            <w:top w:w="0" w:type="dxa"/>
            <w:left w:w="108" w:type="dxa"/>
            <w:bottom w:w="0" w:type="dxa"/>
            <w:right w:w="108" w:type="dxa"/>
          </w:tblCellMar>
        </w:tblPrEx>
        <w:trPr>
          <w:jc w:val="center"/>
        </w:trPr>
        <w:tc>
          <w:tcPr>
            <w:tcW w:w="6827" w:type="dxa"/>
            <w:tcBorders>
              <w:bottom w:val="single" w:color="auto" w:sz="4" w:space="0"/>
            </w:tcBorders>
            <w:shd w:val="clear" w:color="auto" w:fill="E0E0E0"/>
          </w:tcPr>
          <w:p>
            <w:pPr>
              <w:spacing w:line="480" w:lineRule="auto"/>
              <w:jc w:val="center"/>
              <w:rPr>
                <w:color w:val="000000" w:themeColor="text1"/>
                <w:sz w:val="24"/>
                <w:szCs w:val="24"/>
                <w14:textFill>
                  <w14:solidFill>
                    <w14:schemeClr w14:val="tx1"/>
                  </w14:solidFill>
                </w14:textFill>
              </w:rPr>
            </w:pPr>
          </w:p>
        </w:tc>
        <w:tc>
          <w:tcPr>
            <w:tcW w:w="1233" w:type="dxa"/>
            <w:tcBorders>
              <w:bottom w:val="single" w:color="auto" w:sz="4" w:space="0"/>
            </w:tcBorders>
            <w:shd w:val="clear" w:color="auto" w:fill="E0E0E0"/>
          </w:tcPr>
          <w:p>
            <w:pPr>
              <w:spacing w:line="480" w:lineRule="auto"/>
              <w:jc w:val="center"/>
              <w:rPr>
                <w:color w:val="000000" w:themeColor="text1"/>
                <w:sz w:val="24"/>
                <w:szCs w:val="24"/>
                <w14:textFill>
                  <w14:solidFill>
                    <w14:schemeClr w14:val="tx1"/>
                  </w14:solidFill>
                </w14:textFill>
              </w:rPr>
            </w:pPr>
          </w:p>
        </w:tc>
        <w:tc>
          <w:tcPr>
            <w:tcW w:w="1901" w:type="dxa"/>
            <w:tcBorders>
              <w:bottom w:val="single" w:color="auto" w:sz="4" w:space="0"/>
            </w:tcBorders>
            <w:shd w:val="clear" w:color="auto" w:fill="E0E0E0"/>
          </w:tcPr>
          <w:p>
            <w:pPr>
              <w:spacing w:line="480" w:lineRule="auto"/>
              <w:jc w:val="center"/>
              <w:rPr>
                <w:color w:val="000000" w:themeColor="text1"/>
                <w:sz w:val="24"/>
                <w:szCs w:val="24"/>
                <w14:textFill>
                  <w14:solidFill>
                    <w14:schemeClr w14:val="tx1"/>
                  </w14:solidFill>
                </w14:textFill>
              </w:rPr>
            </w:pPr>
          </w:p>
        </w:tc>
      </w:tr>
      <w:tr>
        <w:tblPrEx>
          <w:tblLayout w:type="fixed"/>
          <w:tblCellMar>
            <w:top w:w="0" w:type="dxa"/>
            <w:left w:w="108" w:type="dxa"/>
            <w:bottom w:w="0" w:type="dxa"/>
            <w:right w:w="108" w:type="dxa"/>
          </w:tblCellMar>
        </w:tblPrEx>
        <w:trPr>
          <w:jc w:val="center"/>
        </w:trPr>
        <w:tc>
          <w:tcPr>
            <w:tcW w:w="6827" w:type="dxa"/>
            <w:shd w:val="clear" w:color="auto" w:fill="auto"/>
          </w:tcPr>
          <w:p>
            <w:pPr>
              <w:spacing w:line="480" w:lineRule="auto"/>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长沙金霞经济开发区概况</w:t>
            </w:r>
          </w:p>
        </w:tc>
        <w:tc>
          <w:tcPr>
            <w:tcW w:w="1233" w:type="dxa"/>
            <w:shd w:val="clear" w:color="auto" w:fill="auto"/>
          </w:tcPr>
          <w:p>
            <w:pPr>
              <w:spacing w:line="480" w:lineRule="auto"/>
              <w:jc w:val="center"/>
              <w:rPr>
                <w:rFonts w:ascii="Times New Roman" w:hAnsi="Times New Roman" w:cs="Times New Roman"/>
                <w:color w:val="000000" w:themeColor="text1"/>
                <w:sz w:val="24"/>
                <w:szCs w:val="24"/>
                <w14:textFill>
                  <w14:solidFill>
                    <w14:schemeClr w14:val="tx1"/>
                  </w14:solidFill>
                </w14:textFill>
              </w:rPr>
            </w:pPr>
          </w:p>
        </w:tc>
        <w:tc>
          <w:tcPr>
            <w:tcW w:w="1901" w:type="dxa"/>
          </w:tcPr>
          <w:p>
            <w:pPr>
              <w:spacing w:line="48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w:t>
            </w: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案例</w:t>
            </w:r>
            <w:r>
              <w:rPr>
                <w:rFonts w:hint="eastAsia" w:ascii="Times New Roman" w:hAnsi="Times New Roman" w:cs="Times New Roman"/>
                <w:color w:val="000000" w:themeColor="text1"/>
                <w:sz w:val="24"/>
                <w:szCs w:val="24"/>
                <w:lang w:val="en-US" w:eastAsia="zh-CN"/>
                <w14:textFill>
                  <w14:solidFill>
                    <w14:schemeClr w14:val="tx1"/>
                  </w14:solidFill>
                </w14:textFill>
              </w:rPr>
              <w:t>1</w:t>
            </w:r>
            <w:r>
              <w:rPr>
                <w:rFonts w:ascii="Times New Roman" w:hAnsi="Times New Roman" w:cs="Times New Roman"/>
                <w:color w:val="000000" w:themeColor="text1"/>
                <w:sz w:val="24"/>
                <w:szCs w:val="24"/>
                <w14:textFill>
                  <w14:solidFill>
                    <w14:schemeClr w14:val="tx1"/>
                  </w14:solidFill>
                </w14:textFill>
              </w:rPr>
              <w:t xml:space="preserve">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打造“金霞物流谷”</w:t>
            </w:r>
            <w:r>
              <w:rPr>
                <w:rFonts w:hint="eastAsia" w:ascii="Times New Roman" w:hAnsi="Times New Roman" w:cs="Times New Roman"/>
                <w:color w:val="000000" w:themeColor="text1"/>
                <w:sz w:val="24"/>
                <w:szCs w:val="24"/>
                <w:lang w:val="en-US" w:eastAsia="zh-CN"/>
                <w14:textFill>
                  <w14:solidFill>
                    <w14:schemeClr w14:val="tx1"/>
                  </w14:solidFill>
                </w14:textFill>
              </w:rPr>
              <w:t>、</w:t>
            </w:r>
            <w:r>
              <w:rPr>
                <w:rFonts w:hint="eastAsia" w:ascii="Times New Roman" w:hAnsi="Times New Roman" w:cs="Times New Roman"/>
                <w:color w:val="000000" w:themeColor="text1"/>
                <w:sz w:val="24"/>
                <w:szCs w:val="24"/>
                <w14:textFill>
                  <w14:solidFill>
                    <w14:schemeClr w14:val="tx1"/>
                  </w14:solidFill>
                </w14:textFill>
              </w:rPr>
              <w:t>筑梦“一带一路”</w:t>
            </w:r>
          </w:p>
        </w:tc>
        <w:tc>
          <w:tcPr>
            <w:tcW w:w="1233" w:type="dxa"/>
          </w:tcPr>
          <w:p>
            <w:pPr>
              <w:spacing w:line="480" w:lineRule="auto"/>
              <w:jc w:val="center"/>
              <w:rPr>
                <w:rFonts w:ascii="Times New Roman" w:hAnsi="Times New Roman" w:cs="Times New Roman"/>
                <w:color w:val="000000" w:themeColor="text1"/>
                <w:sz w:val="24"/>
                <w:szCs w:val="24"/>
                <w14:textFill>
                  <w14:solidFill>
                    <w14:schemeClr w14:val="tx1"/>
                  </w14:solidFill>
                </w14:textFill>
              </w:rPr>
            </w:pPr>
          </w:p>
        </w:tc>
        <w:tc>
          <w:tcPr>
            <w:tcW w:w="1901" w:type="dxa"/>
          </w:tcPr>
          <w:p>
            <w:pPr>
              <w:spacing w:line="48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6</w:t>
            </w: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案例2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小潘的烦恼：为何快线不快</w:t>
            </w:r>
          </w:p>
        </w:tc>
        <w:tc>
          <w:tcPr>
            <w:tcW w:w="1233" w:type="dxa"/>
          </w:tcPr>
          <w:p>
            <w:pPr>
              <w:spacing w:line="480" w:lineRule="auto"/>
              <w:jc w:val="center"/>
              <w:rPr>
                <w:rFonts w:ascii="Times New Roman" w:hAnsi="Times New Roman" w:cs="Times New Roman"/>
                <w:color w:val="000000" w:themeColor="text1"/>
                <w:sz w:val="24"/>
                <w:szCs w:val="24"/>
                <w14:textFill>
                  <w14:solidFill>
                    <w14:schemeClr w14:val="tx1"/>
                  </w14:solidFill>
                </w14:textFill>
              </w:rPr>
            </w:pPr>
          </w:p>
        </w:tc>
        <w:tc>
          <w:tcPr>
            <w:tcW w:w="1901" w:type="dxa"/>
          </w:tcPr>
          <w:p>
            <w:pPr>
              <w:spacing w:line="48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8</w:t>
            </w: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案例3 </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医药物流</w:t>
            </w:r>
            <w:r>
              <w:rPr>
                <w:rFonts w:ascii="Times New Roman" w:hAnsi="Times New Roman" w:cs="Times New Roman"/>
                <w:color w:val="000000" w:themeColor="text1"/>
                <w:sz w:val="24"/>
                <w:szCs w:val="24"/>
                <w14:textFill>
                  <w14:solidFill>
                    <w14:schemeClr w14:val="tx1"/>
                  </w14:solidFill>
                </w14:textFill>
              </w:rPr>
              <w:softHyphen/>
            </w:r>
            <w:r>
              <w:rPr>
                <w:rFonts w:ascii="Times New Roman" w:hAnsi="Times New Roman" w:cs="Times New Roman"/>
                <w:color w:val="000000" w:themeColor="text1"/>
                <w:sz w:val="24"/>
                <w:szCs w:val="24"/>
                <w14:textFill>
                  <w14:solidFill>
                    <w14:schemeClr w14:val="tx1"/>
                  </w14:solidFill>
                </w14:textFill>
              </w:rPr>
              <w:t>——路在何方</w:t>
            </w:r>
          </w:p>
        </w:tc>
        <w:tc>
          <w:tcPr>
            <w:tcW w:w="1233" w:type="dxa"/>
          </w:tcPr>
          <w:p>
            <w:pPr>
              <w:spacing w:line="480" w:lineRule="auto"/>
              <w:jc w:val="center"/>
              <w:rPr>
                <w:rFonts w:ascii="Times New Roman" w:hAnsi="Times New Roman" w:cs="Times New Roman"/>
                <w:color w:val="000000" w:themeColor="text1"/>
                <w:sz w:val="24"/>
                <w:szCs w:val="24"/>
                <w14:textFill>
                  <w14:solidFill>
                    <w14:schemeClr w14:val="tx1"/>
                  </w14:solidFill>
                </w14:textFill>
              </w:rPr>
            </w:pPr>
          </w:p>
        </w:tc>
        <w:tc>
          <w:tcPr>
            <w:tcW w:w="1901" w:type="dxa"/>
          </w:tcPr>
          <w:p>
            <w:pPr>
              <w:spacing w:line="48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13</w:t>
            </w: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案例4</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heme="minorEastAsia" w:hAnsiTheme="minorEastAsia"/>
                <w:color w:val="000000" w:themeColor="text1"/>
                <w:sz w:val="24"/>
                <w:szCs w:val="24"/>
                <w14:textFill>
                  <w14:solidFill>
                    <w14:schemeClr w14:val="tx1"/>
                  </w14:solidFill>
                </w14:textFill>
              </w:rPr>
              <w:t>新医改下国药控股湖南公司供应链管理的思考</w:t>
            </w:r>
          </w:p>
        </w:tc>
        <w:tc>
          <w:tcPr>
            <w:tcW w:w="1233" w:type="dxa"/>
          </w:tcPr>
          <w:p>
            <w:pPr>
              <w:spacing w:line="480" w:lineRule="auto"/>
              <w:jc w:val="center"/>
              <w:rPr>
                <w:rFonts w:ascii="Times New Roman" w:hAnsi="Times New Roman" w:cs="Times New Roman"/>
                <w:color w:val="000000" w:themeColor="text1"/>
                <w:sz w:val="24"/>
                <w:szCs w:val="24"/>
                <w14:textFill>
                  <w14:solidFill>
                    <w14:schemeClr w14:val="tx1"/>
                  </w14:solidFill>
                </w14:textFill>
              </w:rPr>
            </w:pPr>
          </w:p>
        </w:tc>
        <w:tc>
          <w:tcPr>
            <w:tcW w:w="1901" w:type="dxa"/>
          </w:tcPr>
          <w:p>
            <w:pPr>
              <w:spacing w:line="48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16</w:t>
            </w: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案例5</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  </w:t>
            </w:r>
            <w:r>
              <w:rPr>
                <w:rFonts w:hint="eastAsia" w:ascii="Times New Roman" w:hAnsi="Times New Roman" w:cs="Times New Roman"/>
                <w:color w:val="000000" w:themeColor="text1"/>
                <w:sz w:val="24"/>
                <w:szCs w:val="24"/>
                <w14:textFill>
                  <w14:solidFill>
                    <w14:schemeClr w14:val="tx1"/>
                  </w14:solidFill>
                </w14:textFill>
              </w:rPr>
              <w:t>湘欧快线多式联运系统建设</w:t>
            </w:r>
          </w:p>
        </w:tc>
        <w:tc>
          <w:tcPr>
            <w:tcW w:w="1233" w:type="dxa"/>
          </w:tcPr>
          <w:p>
            <w:pPr>
              <w:spacing w:line="480" w:lineRule="auto"/>
              <w:jc w:val="center"/>
              <w:rPr>
                <w:rFonts w:ascii="Times New Roman" w:hAnsi="Times New Roman" w:cs="Times New Roman"/>
                <w:color w:val="000000" w:themeColor="text1"/>
                <w:sz w:val="24"/>
                <w:szCs w:val="24"/>
                <w14:textFill>
                  <w14:solidFill>
                    <w14:schemeClr w14:val="tx1"/>
                  </w14:solidFill>
                </w14:textFill>
              </w:rPr>
            </w:pPr>
          </w:p>
        </w:tc>
        <w:tc>
          <w:tcPr>
            <w:tcW w:w="1901" w:type="dxa"/>
          </w:tcPr>
          <w:p>
            <w:pPr>
              <w:spacing w:line="480" w:lineRule="auto"/>
              <w:jc w:val="cente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20</w:t>
            </w: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rFonts w:hint="eastAsia"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案例</w:t>
            </w:r>
            <w:r>
              <w:rPr>
                <w:rFonts w:hint="eastAsia" w:ascii="Times New Roman" w:hAnsi="Times New Roman" w:cs="Times New Roman"/>
                <w:color w:val="000000" w:themeColor="text1"/>
                <w:sz w:val="24"/>
                <w:szCs w:val="24"/>
                <w:lang w:val="en-US" w:eastAsia="zh-CN"/>
                <w14:textFill>
                  <w14:solidFill>
                    <w14:schemeClr w14:val="tx1"/>
                  </w14:solidFill>
                </w14:textFill>
              </w:rPr>
              <w:t xml:space="preserve">6  </w:t>
            </w:r>
            <w:r>
              <w:rPr>
                <w:rFonts w:hint="eastAsia" w:ascii="Times New Roman" w:hAnsi="Times New Roman" w:cs="Times New Roman"/>
                <w:color w:val="000000" w:themeColor="text1"/>
                <w:sz w:val="24"/>
                <w:szCs w:val="24"/>
                <w14:textFill>
                  <w14:solidFill>
                    <w14:schemeClr w14:val="tx1"/>
                  </w14:solidFill>
                </w14:textFill>
              </w:rPr>
              <w:t>长沙医药健康产业园共同配送体系</w:t>
            </w:r>
            <w:r>
              <w:rPr>
                <w:rFonts w:hint="eastAsia" w:ascii="Times New Roman" w:hAnsi="Times New Roman" w:cs="Times New Roman"/>
                <w:color w:val="000000" w:themeColor="text1"/>
                <w:sz w:val="24"/>
                <w:szCs w:val="24"/>
                <w:lang w:eastAsia="zh-CN"/>
                <w14:textFill>
                  <w14:solidFill>
                    <w14:schemeClr w14:val="tx1"/>
                  </w14:solidFill>
                </w14:textFill>
              </w:rPr>
              <w:t>的建设</w:t>
            </w:r>
          </w:p>
        </w:tc>
        <w:tc>
          <w:tcPr>
            <w:tcW w:w="1233" w:type="dxa"/>
          </w:tcPr>
          <w:p>
            <w:pPr>
              <w:spacing w:line="480" w:lineRule="auto"/>
              <w:jc w:val="center"/>
              <w:rPr>
                <w:rFonts w:hint="eastAsia" w:ascii="Times New Roman" w:hAnsi="Times New Roman" w:cs="Times New Roman"/>
                <w:color w:val="000000" w:themeColor="text1"/>
                <w:sz w:val="24"/>
                <w:szCs w:val="24"/>
                <w:lang w:val="en-US" w:eastAsia="zh-CN"/>
                <w14:textFill>
                  <w14:solidFill>
                    <w14:schemeClr w14:val="tx1"/>
                  </w14:solidFill>
                </w14:textFill>
              </w:rPr>
            </w:pPr>
          </w:p>
        </w:tc>
        <w:tc>
          <w:tcPr>
            <w:tcW w:w="1901" w:type="dxa"/>
          </w:tcPr>
          <w:p>
            <w:pPr>
              <w:spacing w:line="480" w:lineRule="auto"/>
              <w:jc w:val="center"/>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26</w:t>
            </w:r>
          </w:p>
        </w:tc>
      </w:tr>
      <w:tr>
        <w:tblPrEx>
          <w:tblLayout w:type="fixed"/>
          <w:tblCellMar>
            <w:top w:w="0" w:type="dxa"/>
            <w:left w:w="108" w:type="dxa"/>
            <w:bottom w:w="0" w:type="dxa"/>
            <w:right w:w="108" w:type="dxa"/>
          </w:tblCellMar>
        </w:tblPrEx>
        <w:trPr>
          <w:jc w:val="center"/>
        </w:trPr>
        <w:tc>
          <w:tcPr>
            <w:tcW w:w="6827" w:type="dxa"/>
            <w:textDirection w:val="lrTb"/>
            <w:vAlign w:val="top"/>
          </w:tcPr>
          <w:p>
            <w:pPr>
              <w:spacing w:line="480" w:lineRule="auto"/>
              <w:jc w:val="left"/>
              <w:rPr>
                <w:color w:val="000000" w:themeColor="text1"/>
                <w:szCs w:val="21"/>
                <w14:textFill>
                  <w14:solidFill>
                    <w14:schemeClr w14:val="tx1"/>
                  </w14:solidFill>
                </w14:textFill>
              </w:rPr>
            </w:pPr>
            <w:r>
              <w:rPr>
                <w:rFonts w:hint="eastAsia" w:ascii="Times New Roman" w:hAnsi="Times New Roman" w:cs="Times New Roman"/>
                <w:color w:val="000000" w:themeColor="text1"/>
                <w:sz w:val="24"/>
                <w:szCs w:val="24"/>
                <w:lang w:eastAsia="zh-CN"/>
                <w14:textFill>
                  <w14:solidFill>
                    <w14:schemeClr w14:val="tx1"/>
                  </w14:solidFill>
                </w14:textFill>
              </w:rPr>
              <w:t>附录</w:t>
            </w:r>
            <w:r>
              <w:rPr>
                <w:rFonts w:hint="eastAsia" w:ascii="Times New Roman" w:hAnsi="Times New Roman" w:cs="Times New Roman"/>
                <w:color w:val="000000" w:themeColor="text1"/>
                <w:sz w:val="24"/>
                <w:szCs w:val="24"/>
                <w:lang w:val="en-US" w:eastAsia="zh-CN"/>
                <w14:textFill>
                  <w14:solidFill>
                    <w14:schemeClr w14:val="tx1"/>
                  </w14:solidFill>
                </w14:textFill>
              </w:rPr>
              <w:t>1-8</w:t>
            </w:r>
          </w:p>
        </w:tc>
        <w:tc>
          <w:tcPr>
            <w:tcW w:w="1233" w:type="dxa"/>
            <w:textDirection w:val="lrTb"/>
            <w:vAlign w:val="top"/>
          </w:tcPr>
          <w:p>
            <w:pPr>
              <w:spacing w:line="480" w:lineRule="auto"/>
              <w:jc w:val="center"/>
              <w:rPr>
                <w:color w:val="000000" w:themeColor="text1"/>
                <w:szCs w:val="21"/>
                <w14:textFill>
                  <w14:solidFill>
                    <w14:schemeClr w14:val="tx1"/>
                  </w14:solidFill>
                </w14:textFill>
              </w:rPr>
            </w:pPr>
          </w:p>
        </w:tc>
        <w:tc>
          <w:tcPr>
            <w:tcW w:w="1901" w:type="dxa"/>
            <w:textDirection w:val="lrTb"/>
            <w:vAlign w:val="top"/>
          </w:tcPr>
          <w:p>
            <w:pPr>
              <w:spacing w:line="480" w:lineRule="auto"/>
              <w:jc w:val="center"/>
              <w:rPr>
                <w:color w:val="000000" w:themeColor="text1"/>
                <w:szCs w:val="21"/>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33</w:t>
            </w: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color w:val="000000" w:themeColor="text1"/>
                <w:szCs w:val="21"/>
                <w14:textFill>
                  <w14:solidFill>
                    <w14:schemeClr w14:val="tx1"/>
                  </w14:solidFill>
                </w14:textFill>
              </w:rPr>
            </w:pPr>
          </w:p>
        </w:tc>
        <w:tc>
          <w:tcPr>
            <w:tcW w:w="1233" w:type="dxa"/>
          </w:tcPr>
          <w:p>
            <w:pPr>
              <w:spacing w:line="480" w:lineRule="auto"/>
              <w:jc w:val="center"/>
              <w:rPr>
                <w:color w:val="000000" w:themeColor="text1"/>
                <w:szCs w:val="21"/>
                <w14:textFill>
                  <w14:solidFill>
                    <w14:schemeClr w14:val="tx1"/>
                  </w14:solidFill>
                </w14:textFill>
              </w:rPr>
            </w:pPr>
          </w:p>
        </w:tc>
        <w:tc>
          <w:tcPr>
            <w:tcW w:w="1901" w:type="dxa"/>
          </w:tcPr>
          <w:p>
            <w:pPr>
              <w:spacing w:line="480" w:lineRule="auto"/>
              <w:jc w:val="center"/>
              <w:rPr>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color w:val="000000" w:themeColor="text1"/>
                <w:szCs w:val="21"/>
                <w14:textFill>
                  <w14:solidFill>
                    <w14:schemeClr w14:val="tx1"/>
                  </w14:solidFill>
                </w14:textFill>
              </w:rPr>
            </w:pPr>
          </w:p>
        </w:tc>
        <w:tc>
          <w:tcPr>
            <w:tcW w:w="1233" w:type="dxa"/>
          </w:tcPr>
          <w:p>
            <w:pPr>
              <w:spacing w:line="480" w:lineRule="auto"/>
              <w:jc w:val="center"/>
              <w:rPr>
                <w:color w:val="000000" w:themeColor="text1"/>
                <w:szCs w:val="21"/>
                <w14:textFill>
                  <w14:solidFill>
                    <w14:schemeClr w14:val="tx1"/>
                  </w14:solidFill>
                </w14:textFill>
              </w:rPr>
            </w:pPr>
          </w:p>
        </w:tc>
        <w:tc>
          <w:tcPr>
            <w:tcW w:w="1901" w:type="dxa"/>
          </w:tcPr>
          <w:p>
            <w:pPr>
              <w:spacing w:line="480" w:lineRule="auto"/>
              <w:jc w:val="center"/>
              <w:rPr>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color w:val="000000" w:themeColor="text1"/>
                <w:szCs w:val="21"/>
                <w14:textFill>
                  <w14:solidFill>
                    <w14:schemeClr w14:val="tx1"/>
                  </w14:solidFill>
                </w14:textFill>
              </w:rPr>
            </w:pPr>
          </w:p>
        </w:tc>
        <w:tc>
          <w:tcPr>
            <w:tcW w:w="1233" w:type="dxa"/>
          </w:tcPr>
          <w:p>
            <w:pPr>
              <w:spacing w:line="480" w:lineRule="auto"/>
              <w:jc w:val="center"/>
              <w:rPr>
                <w:color w:val="000000" w:themeColor="text1"/>
                <w:szCs w:val="21"/>
                <w14:textFill>
                  <w14:solidFill>
                    <w14:schemeClr w14:val="tx1"/>
                  </w14:solidFill>
                </w14:textFill>
              </w:rPr>
            </w:pPr>
          </w:p>
        </w:tc>
        <w:tc>
          <w:tcPr>
            <w:tcW w:w="1901" w:type="dxa"/>
          </w:tcPr>
          <w:p>
            <w:pPr>
              <w:spacing w:line="480" w:lineRule="auto"/>
              <w:jc w:val="center"/>
              <w:rPr>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color w:val="000000" w:themeColor="text1"/>
                <w:szCs w:val="21"/>
                <w14:textFill>
                  <w14:solidFill>
                    <w14:schemeClr w14:val="tx1"/>
                  </w14:solidFill>
                </w14:textFill>
              </w:rPr>
            </w:pPr>
          </w:p>
        </w:tc>
        <w:tc>
          <w:tcPr>
            <w:tcW w:w="1233" w:type="dxa"/>
          </w:tcPr>
          <w:p>
            <w:pPr>
              <w:spacing w:line="480" w:lineRule="auto"/>
              <w:jc w:val="center"/>
              <w:rPr>
                <w:color w:val="000000" w:themeColor="text1"/>
                <w:szCs w:val="21"/>
                <w14:textFill>
                  <w14:solidFill>
                    <w14:schemeClr w14:val="tx1"/>
                  </w14:solidFill>
                </w14:textFill>
              </w:rPr>
            </w:pPr>
          </w:p>
        </w:tc>
        <w:tc>
          <w:tcPr>
            <w:tcW w:w="1901" w:type="dxa"/>
          </w:tcPr>
          <w:p>
            <w:pPr>
              <w:spacing w:line="480" w:lineRule="auto"/>
              <w:jc w:val="center"/>
              <w:rPr>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color w:val="000000" w:themeColor="text1"/>
                <w:szCs w:val="21"/>
                <w14:textFill>
                  <w14:solidFill>
                    <w14:schemeClr w14:val="tx1"/>
                  </w14:solidFill>
                </w14:textFill>
              </w:rPr>
            </w:pPr>
          </w:p>
        </w:tc>
        <w:tc>
          <w:tcPr>
            <w:tcW w:w="1233" w:type="dxa"/>
          </w:tcPr>
          <w:p>
            <w:pPr>
              <w:spacing w:line="480" w:lineRule="auto"/>
              <w:jc w:val="center"/>
              <w:rPr>
                <w:color w:val="000000" w:themeColor="text1"/>
                <w:szCs w:val="21"/>
                <w14:textFill>
                  <w14:solidFill>
                    <w14:schemeClr w14:val="tx1"/>
                  </w14:solidFill>
                </w14:textFill>
              </w:rPr>
            </w:pPr>
          </w:p>
        </w:tc>
        <w:tc>
          <w:tcPr>
            <w:tcW w:w="1901" w:type="dxa"/>
          </w:tcPr>
          <w:p>
            <w:pPr>
              <w:spacing w:line="480" w:lineRule="auto"/>
              <w:jc w:val="center"/>
              <w:rPr>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color w:val="000000" w:themeColor="text1"/>
                <w:szCs w:val="21"/>
                <w14:textFill>
                  <w14:solidFill>
                    <w14:schemeClr w14:val="tx1"/>
                  </w14:solidFill>
                </w14:textFill>
              </w:rPr>
            </w:pPr>
          </w:p>
        </w:tc>
        <w:tc>
          <w:tcPr>
            <w:tcW w:w="1233" w:type="dxa"/>
          </w:tcPr>
          <w:p>
            <w:pPr>
              <w:spacing w:line="480" w:lineRule="auto"/>
              <w:jc w:val="center"/>
              <w:rPr>
                <w:color w:val="000000" w:themeColor="text1"/>
                <w:szCs w:val="21"/>
                <w14:textFill>
                  <w14:solidFill>
                    <w14:schemeClr w14:val="tx1"/>
                  </w14:solidFill>
                </w14:textFill>
              </w:rPr>
            </w:pPr>
          </w:p>
        </w:tc>
        <w:tc>
          <w:tcPr>
            <w:tcW w:w="1901" w:type="dxa"/>
          </w:tcPr>
          <w:p>
            <w:pPr>
              <w:spacing w:line="480" w:lineRule="auto"/>
              <w:jc w:val="center"/>
              <w:rPr>
                <w:color w:val="000000" w:themeColor="text1"/>
                <w:szCs w:val="21"/>
                <w14:textFill>
                  <w14:solidFill>
                    <w14:schemeClr w14:val="tx1"/>
                  </w14:solidFill>
                </w14:textFill>
              </w:rPr>
            </w:pPr>
          </w:p>
        </w:tc>
      </w:tr>
      <w:tr>
        <w:tblPrEx>
          <w:tblLayout w:type="fixed"/>
          <w:tblCellMar>
            <w:top w:w="0" w:type="dxa"/>
            <w:left w:w="108" w:type="dxa"/>
            <w:bottom w:w="0" w:type="dxa"/>
            <w:right w:w="108" w:type="dxa"/>
          </w:tblCellMar>
        </w:tblPrEx>
        <w:trPr>
          <w:jc w:val="center"/>
        </w:trPr>
        <w:tc>
          <w:tcPr>
            <w:tcW w:w="6827" w:type="dxa"/>
          </w:tcPr>
          <w:p>
            <w:pPr>
              <w:spacing w:line="480" w:lineRule="auto"/>
              <w:jc w:val="left"/>
              <w:rPr>
                <w:color w:val="000000" w:themeColor="text1"/>
                <w:szCs w:val="21"/>
                <w14:textFill>
                  <w14:solidFill>
                    <w14:schemeClr w14:val="tx1"/>
                  </w14:solidFill>
                </w14:textFill>
              </w:rPr>
            </w:pPr>
          </w:p>
        </w:tc>
        <w:tc>
          <w:tcPr>
            <w:tcW w:w="1233" w:type="dxa"/>
          </w:tcPr>
          <w:p>
            <w:pPr>
              <w:spacing w:line="480" w:lineRule="auto"/>
              <w:jc w:val="center"/>
              <w:rPr>
                <w:color w:val="000000" w:themeColor="text1"/>
                <w:szCs w:val="21"/>
                <w14:textFill>
                  <w14:solidFill>
                    <w14:schemeClr w14:val="tx1"/>
                  </w14:solidFill>
                </w14:textFill>
              </w:rPr>
            </w:pPr>
          </w:p>
        </w:tc>
        <w:tc>
          <w:tcPr>
            <w:tcW w:w="1901" w:type="dxa"/>
          </w:tcPr>
          <w:p>
            <w:pPr>
              <w:spacing w:line="480" w:lineRule="auto"/>
              <w:jc w:val="center"/>
              <w:rPr>
                <w:color w:val="000000" w:themeColor="text1"/>
                <w:szCs w:val="21"/>
                <w14:textFill>
                  <w14:solidFill>
                    <w14:schemeClr w14:val="tx1"/>
                  </w14:solidFill>
                </w14:textFill>
              </w:rPr>
            </w:pP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zh-CN"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zh-CN"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000000" w:themeColor="text1"/>
          <w:sz w:val="24"/>
          <w:szCs w:val="24"/>
          <w:lang w:val="zh-CN" w:eastAsia="zh-CN"/>
          <w14:textFill>
            <w14:solidFill>
              <w14:schemeClr w14:val="tx1"/>
            </w14:solidFill>
          </w14:textFill>
        </w:rPr>
        <w:sectPr>
          <w:footerReference r:id="rId9" w:type="first"/>
          <w:footerReference r:id="rId8" w:type="default"/>
          <w:pgSz w:w="11906" w:h="16838"/>
          <w:pgMar w:top="1440" w:right="1800" w:bottom="1440" w:left="1800" w:header="851" w:footer="992" w:gutter="0"/>
          <w:pgNumType w:fmt="decimal"/>
          <w:cols w:space="425" w:num="1"/>
          <w:titlePg/>
          <w:docGrid w:type="lines" w:linePitch="312" w:charSpace="0"/>
        </w:sectPr>
      </w:pPr>
    </w:p>
    <w:p>
      <w:pPr>
        <w:rPr>
          <w:color w:val="000000" w:themeColor="text1"/>
          <w14:textFill>
            <w14:solidFill>
              <w14:schemeClr w14:val="tx1"/>
            </w14:solidFill>
          </w14:textFill>
        </w:rPr>
      </w:pPr>
    </w:p>
    <w:p>
      <w:pPr>
        <w:tabs>
          <w:tab w:val="left" w:pos="420"/>
        </w:tabs>
        <w:autoSpaceDE w:val="0"/>
        <w:autoSpaceDN w:val="0"/>
        <w:adjustRightInd w:val="0"/>
        <w:snapToGrid w:val="0"/>
        <w:spacing w:line="360" w:lineRule="auto"/>
        <w:jc w:val="center"/>
        <w:outlineLvl w:val="0"/>
        <w:rPr>
          <w:rFonts w:ascii="黑体" w:hAnsi="黑体" w:eastAsia="黑体"/>
          <w:b/>
          <w:color w:val="000000" w:themeColor="text1"/>
          <w:sz w:val="36"/>
          <w:szCs w:val="36"/>
          <w:lang w:val="zh-CN"/>
          <w14:textFill>
            <w14:solidFill>
              <w14:schemeClr w14:val="tx1"/>
            </w14:solidFill>
          </w14:textFill>
        </w:rPr>
      </w:pPr>
      <w:r>
        <w:rPr>
          <w:rFonts w:hint="eastAsia" w:ascii="黑体" w:hAnsi="黑体" w:eastAsia="黑体"/>
          <w:b/>
          <w:color w:val="000000" w:themeColor="text1"/>
          <w:sz w:val="36"/>
          <w:szCs w:val="36"/>
          <w:lang w:val="zh-CN"/>
          <w14:textFill>
            <w14:solidFill>
              <w14:schemeClr w14:val="tx1"/>
            </w14:solidFill>
          </w14:textFill>
        </w:rPr>
        <w:t>长沙金霞经济开发区概况</w:t>
      </w:r>
    </w:p>
    <w:p>
      <w:pPr>
        <w:pStyle w:val="2"/>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1</w:t>
      </w:r>
      <w:r>
        <w:rPr>
          <w:rFonts w:ascii="Times New Roman" w:hAnsi="Times New Roman"/>
          <w:color w:val="000000" w:themeColor="text1"/>
          <w:sz w:val="28"/>
          <w:szCs w:val="28"/>
          <w14:textFill>
            <w14:solidFill>
              <w14:schemeClr w14:val="tx1"/>
            </w14:solidFill>
          </w14:textFill>
        </w:rPr>
        <w:t>．</w:t>
      </w:r>
      <w:r>
        <w:rPr>
          <w:rFonts w:hint="eastAsia" w:ascii="黑体" w:hAnsi="黑体" w:eastAsia="黑体"/>
          <w:color w:val="000000" w:themeColor="text1"/>
          <w:sz w:val="28"/>
          <w:szCs w:val="28"/>
          <w14:textFill>
            <w14:solidFill>
              <w14:schemeClr w14:val="tx1"/>
            </w14:solidFill>
          </w14:textFill>
        </w:rPr>
        <w:t>基本情况</w:t>
      </w:r>
    </w:p>
    <w:p>
      <w:pPr>
        <w:pStyle w:val="19"/>
        <w:shd w:val="clear" w:color="auto" w:fill="FFFFFF"/>
        <w:spacing w:before="0" w:beforeAutospacing="0" w:after="0" w:afterAutospacing="0" w:line="360" w:lineRule="auto"/>
        <w:ind w:firstLine="480" w:firstLineChars="200"/>
        <w:jc w:val="both"/>
        <w:rPr>
          <w:rFonts w:cs="Arial" w:asciiTheme="minorEastAsia" w:hAnsiTheme="minorEastAsia" w:eastAsiaTheme="minorEastAsia"/>
          <w:color w:val="000000" w:themeColor="text1"/>
          <w14:textFill>
            <w14:solidFill>
              <w14:schemeClr w14:val="tx1"/>
            </w14:solidFill>
          </w14:textFill>
        </w:rPr>
      </w:pPr>
      <w:r>
        <w:rPr>
          <w:rFonts w:hint="eastAsia" w:cs="Arial" w:asciiTheme="minorEastAsia" w:hAnsiTheme="minorEastAsia" w:eastAsiaTheme="minorEastAsia"/>
          <w:color w:val="000000" w:themeColor="text1"/>
          <w14:textFill>
            <w14:solidFill>
              <w14:schemeClr w14:val="tx1"/>
            </w14:solidFill>
          </w14:textFill>
        </w:rPr>
        <w:t>长沙金霞经济开发区成立于</w:t>
      </w:r>
      <w:r>
        <w:rPr>
          <w:rFonts w:hint="default" w:ascii="Times New Roman" w:hAnsi="Times New Roman" w:cs="Times New Roman" w:eastAsiaTheme="minorEastAsia"/>
          <w:color w:val="000000" w:themeColor="text1"/>
          <w14:textFill>
            <w14:solidFill>
              <w14:schemeClr w14:val="tx1"/>
            </w14:solidFill>
          </w14:textFill>
        </w:rPr>
        <w:t>1992</w:t>
      </w:r>
      <w:r>
        <w:rPr>
          <w:rFonts w:hint="eastAsia" w:cs="Arial" w:asciiTheme="minorEastAsia" w:hAnsiTheme="minorEastAsia" w:eastAsiaTheme="minorEastAsia"/>
          <w:color w:val="000000" w:themeColor="text1"/>
          <w14:textFill>
            <w14:solidFill>
              <w14:schemeClr w14:val="tx1"/>
            </w14:solidFill>
          </w14:textFill>
        </w:rPr>
        <w:t>年，是经国务院批准的湖南省首批重点开发区，也是湖南省唯一的综合性现代物流园区。园区规划总面积</w:t>
      </w:r>
      <w:r>
        <w:rPr>
          <w:rFonts w:hint="default" w:ascii="Times New Roman" w:hAnsi="Times New Roman" w:cs="Times New Roman" w:eastAsiaTheme="minorEastAsia"/>
          <w:color w:val="000000" w:themeColor="text1"/>
          <w14:textFill>
            <w14:solidFill>
              <w14:schemeClr w14:val="tx1"/>
            </w14:solidFill>
          </w14:textFill>
        </w:rPr>
        <w:t>84</w:t>
      </w:r>
      <w:r>
        <w:rPr>
          <w:rFonts w:hint="eastAsia" w:cs="Arial" w:asciiTheme="minorEastAsia" w:hAnsiTheme="minorEastAsia" w:eastAsiaTheme="minorEastAsia"/>
          <w:color w:val="000000" w:themeColor="text1"/>
          <w14:textFill>
            <w14:solidFill>
              <w14:schemeClr w14:val="tx1"/>
            </w14:solidFill>
          </w14:textFill>
        </w:rPr>
        <w:t>平方公里，辖金霞、沙坪、鹅秀、高岭、青竹湖五个组团。园区拥有得天独厚的区位优势，是湖南省唯一集水、陆、空、铁、管等立体优势于一体的现代物流园区。京港澳高速、长张高速、长潭西高速等近十条高速公路及环线与区内三纵十横的城市道路网互联互通；京广铁路、长石铁路、武广高速铁路穿境而过；长沙新港货物通过湘江入长江经上海港中转运往世界各基本港，形成了“通江达海，物流全球”的水路网络体系；石油分销中心成为西气东输的过境要道；黄花机场距园区仅</w:t>
      </w:r>
      <w:r>
        <w:rPr>
          <w:rFonts w:hint="default" w:ascii="Times New Roman" w:hAnsi="Times New Roman" w:cs="Times New Roman" w:eastAsiaTheme="minorEastAsia"/>
          <w:color w:val="000000" w:themeColor="text1"/>
          <w14:textFill>
            <w14:solidFill>
              <w14:schemeClr w14:val="tx1"/>
            </w14:solidFill>
          </w14:textFill>
        </w:rPr>
        <w:t>20</w:t>
      </w:r>
      <w:r>
        <w:rPr>
          <w:rFonts w:hint="eastAsia" w:cs="Arial" w:asciiTheme="minorEastAsia" w:hAnsiTheme="minorEastAsia" w:eastAsiaTheme="minorEastAsia"/>
          <w:color w:val="000000" w:themeColor="text1"/>
          <w14:textFill>
            <w14:solidFill>
              <w14:schemeClr w14:val="tx1"/>
            </w14:solidFill>
          </w14:textFill>
        </w:rPr>
        <w:t>公里，是服务长株潭、辐射中部、影响全国的货运枢纽中心、国家一级物流节点和重要的国际物流转换基地。</w:t>
      </w:r>
    </w:p>
    <w:p>
      <w:pPr>
        <w:pStyle w:val="19"/>
        <w:shd w:val="clear" w:color="auto" w:fill="FFFFFF"/>
        <w:spacing w:before="0" w:beforeAutospacing="0" w:after="0" w:afterAutospacing="0" w:line="360" w:lineRule="auto"/>
        <w:ind w:firstLine="480" w:firstLineChars="200"/>
        <w:jc w:val="both"/>
        <w:rPr>
          <w:rFonts w:hint="eastAsia" w:cs="Arial" w:asciiTheme="minorEastAsia" w:hAnsiTheme="minorEastAsia" w:eastAsiaTheme="minorEastAsia"/>
          <w:color w:val="000000" w:themeColor="text1"/>
          <w14:textFill>
            <w14:solidFill>
              <w14:schemeClr w14:val="tx1"/>
            </w14:solidFill>
          </w14:textFill>
        </w:rPr>
      </w:pPr>
      <w:r>
        <w:rPr>
          <w:rFonts w:hint="eastAsia" w:cs="Arial" w:asciiTheme="minorEastAsia" w:hAnsiTheme="minorEastAsia" w:eastAsiaTheme="minorEastAsia"/>
          <w:color w:val="000000" w:themeColor="text1"/>
          <w14:textFill>
            <w14:solidFill>
              <w14:schemeClr w14:val="tx1"/>
            </w14:solidFill>
          </w14:textFill>
        </w:rPr>
        <w:t>长沙金霞经济开发区是湖南省唯一以现代物流为主导产业的多功能产业园区，依托独特的物流优势，坚持走特色建园、差异发展之路，经</w:t>
      </w:r>
      <w:r>
        <w:rPr>
          <w:rFonts w:hint="default" w:cs="Arial" w:asciiTheme="minorEastAsia" w:hAnsiTheme="minorEastAsia" w:eastAsiaTheme="minorEastAsia"/>
          <w:color w:val="000000" w:themeColor="text1"/>
          <w14:textFill>
            <w14:solidFill>
              <w14:schemeClr w14:val="tx1"/>
            </w14:solidFill>
          </w14:textFill>
        </w:rPr>
        <w:t>过20多</w:t>
      </w:r>
      <w:r>
        <w:rPr>
          <w:rFonts w:hint="eastAsia" w:cs="Arial" w:asciiTheme="minorEastAsia" w:hAnsiTheme="minorEastAsia" w:eastAsiaTheme="minorEastAsia"/>
          <w:color w:val="000000" w:themeColor="text1"/>
          <w14:textFill>
            <w14:solidFill>
              <w14:schemeClr w14:val="tx1"/>
            </w14:solidFill>
          </w14:textFill>
        </w:rPr>
        <w:t>年发展，园区基础设施日臻完善，主导产业日益壮大，相继获评“国家级示范物流园区”、“中国物流示范基地”、“中国物流学会产学研示范基地”、“国家电子商务示范基地”、“国家新型工业化产业示范基地（工业物流）”、湖南省人民政府首批“省级示范物流园区”和“两型示范园区”等荣誉。园区主动融入国家“一带一路”和长江经济带战略，切实响应国家加快现代物流业发展号召，率先实施传统产业转型升级战略，全力推进“建设大城北，进位国家级”战略目标，打造具有国内、国际影响力的“中国金霞物流谷”。</w:t>
      </w:r>
    </w:p>
    <w:p>
      <w:pPr>
        <w:pStyle w:val="2"/>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2</w:t>
      </w:r>
      <w:r>
        <w:rPr>
          <w:rFonts w:ascii="Times New Roman" w:hAnsi="Times New Roman"/>
          <w:color w:val="000000" w:themeColor="text1"/>
          <w:sz w:val="28"/>
          <w:szCs w:val="28"/>
          <w14:textFill>
            <w14:solidFill>
              <w14:schemeClr w14:val="tx1"/>
            </w14:solidFill>
          </w14:textFill>
        </w:rPr>
        <w:t>．</w:t>
      </w:r>
      <w:r>
        <w:rPr>
          <w:rFonts w:hint="eastAsia" w:ascii="黑体" w:hAnsi="黑体" w:eastAsia="黑体"/>
          <w:color w:val="000000" w:themeColor="text1"/>
          <w:sz w:val="28"/>
          <w:szCs w:val="28"/>
          <w14:textFill>
            <w14:solidFill>
              <w14:schemeClr w14:val="tx1"/>
            </w14:solidFill>
          </w14:textFill>
        </w:rPr>
        <w:t>历史沿革</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mc:AlternateContent>
          <mc:Choice Requires="wpc">
            <w:drawing>
              <wp:inline distT="0" distB="0" distL="0" distR="0">
                <wp:extent cx="5124450" cy="2349500"/>
                <wp:effectExtent l="19050" t="0" r="0" b="0"/>
                <wp:docPr id="97" name="画布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1" name="文本框 126"/>
                        <wps:cNvSpPr txBox="1"/>
                        <wps:spPr>
                          <a:xfrm>
                            <a:off x="3499933" y="1237331"/>
                            <a:ext cx="566420" cy="272086"/>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both"/>
                              </w:pPr>
                              <w:r>
                                <w:rPr>
                                  <w:rFonts w:hint="eastAsia" w:cs="Times New Roman"/>
                                  <w:kern w:val="2"/>
                                  <w:sz w:val="18"/>
                                  <w:szCs w:val="18"/>
                                </w:rPr>
                                <w:t>2006</w:t>
                              </w:r>
                              <w:r>
                                <w:rPr>
                                  <w:rFonts w:cs="Times New Roman"/>
                                  <w:kern w:val="2"/>
                                  <w:sz w:val="18"/>
                                  <w:szCs w:val="18"/>
                                </w:rPr>
                                <w:t>.</w:t>
                              </w:r>
                              <w:r>
                                <w:rPr>
                                  <w:rFonts w:hint="eastAsia" w:cs="Times New Roman"/>
                                  <w:kern w:val="2"/>
                                  <w:sz w:val="18"/>
                                  <w:szCs w:val="18"/>
                                </w:rPr>
                                <w:t>3</w:t>
                              </w:r>
                            </w:p>
                          </w:txbxContent>
                        </wps:txbx>
                        <wps:bodyPr rot="0" spcFirstLastPara="0" vert="horz" wrap="square" lIns="91440" tIns="45720" rIns="91440" bIns="45720" numCol="1" spcCol="0" rtlCol="0" fromWordArt="0" anchor="t" anchorCtr="0" forceAA="0" compatLnSpc="1">
                          <a:noAutofit/>
                        </wps:bodyPr>
                      </wps:wsp>
                      <wps:wsp>
                        <wps:cNvPr id="130" name="文本框 126"/>
                        <wps:cNvSpPr txBox="1"/>
                        <wps:spPr>
                          <a:xfrm>
                            <a:off x="3277861" y="1536852"/>
                            <a:ext cx="566420" cy="265239"/>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both"/>
                              </w:pPr>
                              <w:r>
                                <w:rPr>
                                  <w:rFonts w:hint="eastAsia" w:cs="Times New Roman"/>
                                  <w:kern w:val="2"/>
                                  <w:sz w:val="18"/>
                                  <w:szCs w:val="18"/>
                                </w:rPr>
                                <w:t>2006</w:t>
                              </w:r>
                              <w:r>
                                <w:rPr>
                                  <w:rFonts w:cs="Times New Roman"/>
                                  <w:kern w:val="2"/>
                                  <w:sz w:val="18"/>
                                  <w:szCs w:val="18"/>
                                </w:rPr>
                                <w:t>.12</w:t>
                              </w:r>
                            </w:p>
                          </w:txbxContent>
                        </wps:txbx>
                        <wps:bodyPr rot="0" spcFirstLastPara="0" vert="horz" wrap="square" lIns="91440" tIns="45720" rIns="91440" bIns="45720" numCol="1" spcCol="0" rtlCol="0" fromWordArt="0" anchor="t" anchorCtr="0" forceAA="0" compatLnSpc="1">
                          <a:noAutofit/>
                        </wps:bodyPr>
                      </wps:wsp>
                      <wps:wsp>
                        <wps:cNvPr id="129" name="文本框 126"/>
                        <wps:cNvSpPr txBox="1"/>
                        <wps:spPr>
                          <a:xfrm>
                            <a:off x="2692520" y="1211471"/>
                            <a:ext cx="649349" cy="272472"/>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both"/>
                              </w:pPr>
                              <w:r>
                                <w:rPr>
                                  <w:rFonts w:hint="eastAsia" w:cs="Times New Roman"/>
                                  <w:kern w:val="2"/>
                                  <w:sz w:val="18"/>
                                  <w:szCs w:val="18"/>
                                </w:rPr>
                                <w:t>2001</w:t>
                              </w:r>
                              <w:r>
                                <w:rPr>
                                  <w:rFonts w:cs="Times New Roman"/>
                                  <w:kern w:val="2"/>
                                  <w:sz w:val="18"/>
                                  <w:szCs w:val="18"/>
                                </w:rPr>
                                <w:t>.1</w:t>
                              </w:r>
                              <w:r>
                                <w:rPr>
                                  <w:rFonts w:hint="eastAsia" w:cs="Times New Roman"/>
                                  <w:kern w:val="2"/>
                                  <w:sz w:val="18"/>
                                  <w:szCs w:val="18"/>
                                </w:rPr>
                                <w:t>0</w:t>
                              </w:r>
                            </w:p>
                          </w:txbxContent>
                        </wps:txbx>
                        <wps:bodyPr rot="0" spcFirstLastPara="0" vert="horz" wrap="square" lIns="91440" tIns="45720" rIns="91440" bIns="45720" numCol="1" spcCol="0" rtlCol="0" fromWordArt="0" anchor="t" anchorCtr="0" forceAA="0" compatLnSpc="1">
                          <a:noAutofit/>
                        </wps:bodyPr>
                      </wps:wsp>
                      <wps:wsp>
                        <wps:cNvPr id="128" name="文本框 126"/>
                        <wps:cNvSpPr txBox="1"/>
                        <wps:spPr>
                          <a:xfrm>
                            <a:off x="2032689" y="1508314"/>
                            <a:ext cx="617460" cy="293340"/>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both"/>
                              </w:pPr>
                              <w:r>
                                <w:rPr>
                                  <w:rFonts w:cs="Times New Roman"/>
                                  <w:kern w:val="2"/>
                                  <w:sz w:val="18"/>
                                  <w:szCs w:val="18"/>
                                </w:rPr>
                                <w:t>199</w:t>
                              </w:r>
                              <w:r>
                                <w:rPr>
                                  <w:rFonts w:hint="eastAsia" w:cs="Times New Roman"/>
                                  <w:kern w:val="2"/>
                                  <w:sz w:val="18"/>
                                  <w:szCs w:val="18"/>
                                </w:rPr>
                                <w:t>7</w:t>
                              </w:r>
                              <w:r>
                                <w:rPr>
                                  <w:rFonts w:cs="Times New Roman"/>
                                  <w:kern w:val="2"/>
                                  <w:sz w:val="18"/>
                                  <w:szCs w:val="18"/>
                                </w:rPr>
                                <w:t>.</w:t>
                              </w:r>
                              <w:r>
                                <w:rPr>
                                  <w:rFonts w:hint="eastAsia" w:cs="Times New Roman"/>
                                  <w:kern w:val="2"/>
                                  <w:sz w:val="18"/>
                                  <w:szCs w:val="18"/>
                                </w:rPr>
                                <w:t>11</w:t>
                              </w:r>
                            </w:p>
                          </w:txbxContent>
                        </wps:txbx>
                        <wps:bodyPr rot="0" spcFirstLastPara="0" vert="horz" wrap="square" lIns="91440" tIns="45720" rIns="91440" bIns="45720" numCol="1" spcCol="0" rtlCol="0" fromWordArt="0" anchor="t" anchorCtr="0" forceAA="0" compatLnSpc="1">
                          <a:noAutofit/>
                        </wps:bodyPr>
                      </wps:wsp>
                      <wps:wsp>
                        <wps:cNvPr id="127" name="文本框 126"/>
                        <wps:cNvSpPr txBox="1"/>
                        <wps:spPr>
                          <a:xfrm>
                            <a:off x="1087399" y="1211803"/>
                            <a:ext cx="566420" cy="272088"/>
                          </a:xfrm>
                          <a:prstGeom prst="rect">
                            <a:avLst/>
                          </a:prstGeom>
                          <a:solidFill>
                            <a:sysClr val="window" lastClr="FFFFFF"/>
                          </a:solidFill>
                          <a:ln w="6350">
                            <a:solidFill>
                              <a:sysClr val="window" lastClr="FFFFFF"/>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both"/>
                              </w:pPr>
                              <w:r>
                                <w:rPr>
                                  <w:rFonts w:cs="Times New Roman"/>
                                  <w:kern w:val="2"/>
                                  <w:sz w:val="18"/>
                                  <w:szCs w:val="18"/>
                                </w:rPr>
                                <w:t>199</w:t>
                              </w:r>
                              <w:r>
                                <w:rPr>
                                  <w:rFonts w:hint="eastAsia" w:cs="Times New Roman"/>
                                  <w:kern w:val="2"/>
                                  <w:sz w:val="18"/>
                                  <w:szCs w:val="18"/>
                                </w:rPr>
                                <w:t>4</w:t>
                              </w:r>
                              <w:r>
                                <w:rPr>
                                  <w:rFonts w:cs="Times New Roman"/>
                                  <w:kern w:val="2"/>
                                  <w:sz w:val="18"/>
                                  <w:szCs w:val="18"/>
                                </w:rPr>
                                <w:t>.</w:t>
                              </w:r>
                              <w:r>
                                <w:rPr>
                                  <w:rFonts w:hint="eastAsia" w:cs="Times New Roman"/>
                                  <w:kern w:val="2"/>
                                  <w:sz w:val="18"/>
                                  <w:szCs w:val="18"/>
                                </w:rPr>
                                <w:t>9</w:t>
                              </w:r>
                            </w:p>
                          </w:txbxContent>
                        </wps:txbx>
                        <wps:bodyPr rot="0" spcFirstLastPara="0" vert="horz" wrap="square" lIns="91440" tIns="45720" rIns="91440" bIns="45720" numCol="1" spcCol="0" rtlCol="0" fromWordArt="0" anchor="t" anchorCtr="0" forceAA="0" compatLnSpc="1">
                          <a:noAutofit/>
                        </wps:bodyPr>
                      </wps:wsp>
                      <wps:wsp>
                        <wps:cNvPr id="126" name="文本框 126"/>
                        <wps:cNvSpPr txBox="1"/>
                        <wps:spPr>
                          <a:xfrm>
                            <a:off x="77391" y="1212135"/>
                            <a:ext cx="566622" cy="29728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rPr>
                                  <w:rFonts w:asciiTheme="minorEastAsia" w:hAnsiTheme="minorEastAsia"/>
                                  <w:sz w:val="18"/>
                                  <w:szCs w:val="18"/>
                                </w:rPr>
                              </w:pPr>
                              <w:r>
                                <w:rPr>
                                  <w:rFonts w:hint="eastAsia" w:asciiTheme="minorEastAsia" w:hAnsiTheme="minorEastAsia"/>
                                  <w:sz w:val="18"/>
                                  <w:szCs w:val="18"/>
                                </w:rPr>
                                <w:t>1992.12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 name="文本框 99"/>
                        <wps:cNvSpPr txBox="1"/>
                        <wps:spPr>
                          <a:xfrm>
                            <a:off x="2378990" y="1802515"/>
                            <a:ext cx="882015" cy="449043"/>
                          </a:xfrm>
                          <a:prstGeom prst="rect">
                            <a:avLst/>
                          </a:prstGeom>
                          <a:solidFill>
                            <a:schemeClr val="accent1">
                              <a:lumMod val="20000"/>
                              <a:lumOff val="80000"/>
                            </a:schemeClr>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center"/>
                                <w:rPr>
                                  <w:rFonts w:ascii="楷体" w:hAnsi="楷体" w:eastAsia="楷体" w:cs="Times New Roman"/>
                                  <w:sz w:val="20"/>
                                  <w:szCs w:val="20"/>
                                </w:rPr>
                              </w:pPr>
                              <w:r>
                                <w:rPr>
                                  <w:rFonts w:ascii="楷体" w:hAnsi="楷体" w:eastAsia="楷体" w:cs="Times New Roman"/>
                                  <w:sz w:val="20"/>
                                  <w:szCs w:val="20"/>
                                </w:rPr>
                                <w:t>长沙</w:t>
                              </w:r>
                              <w:r>
                                <w:rPr>
                                  <w:rFonts w:hint="eastAsia" w:ascii="楷体" w:hAnsi="楷体" w:eastAsia="楷体" w:cs="Times New Roman"/>
                                  <w:sz w:val="20"/>
                                  <w:szCs w:val="20"/>
                                </w:rPr>
                                <w:t>金霞</w:t>
                              </w:r>
                            </w:p>
                            <w:p>
                              <w:pPr>
                                <w:pStyle w:val="9"/>
                                <w:spacing w:before="0" w:beforeAutospacing="0" w:after="0" w:afterAutospacing="0" w:line="240" w:lineRule="exact"/>
                                <w:jc w:val="center"/>
                                <w:rPr>
                                  <w:rFonts w:ascii="楷体" w:hAnsi="楷体" w:eastAsia="楷体"/>
                                </w:rPr>
                              </w:pPr>
                              <w:r>
                                <w:rPr>
                                  <w:rFonts w:ascii="楷体" w:hAnsi="楷体" w:eastAsia="楷体" w:cs="Times New Roman"/>
                                  <w:sz w:val="20"/>
                                  <w:szCs w:val="20"/>
                                </w:rPr>
                                <w:t>经济开发区</w:t>
                              </w:r>
                            </w:p>
                          </w:txbxContent>
                        </wps:txbx>
                        <wps:bodyPr rot="0" spcFirstLastPara="0" vert="horz" wrap="square" lIns="91440" tIns="45720" rIns="91440" bIns="45720" numCol="1" spcCol="0" rtlCol="0" fromWordArt="0" anchor="t" anchorCtr="0" forceAA="0" compatLnSpc="1">
                          <a:noAutofit/>
                        </wps:bodyPr>
                      </wps:wsp>
                      <wps:wsp>
                        <wps:cNvPr id="102" name="文本框 99"/>
                        <wps:cNvSpPr txBox="1"/>
                        <wps:spPr>
                          <a:xfrm>
                            <a:off x="1120893" y="1597375"/>
                            <a:ext cx="788403" cy="410120"/>
                          </a:xfrm>
                          <a:prstGeom prst="rect">
                            <a:avLst/>
                          </a:prstGeom>
                          <a:solidFill>
                            <a:schemeClr val="accent1">
                              <a:lumMod val="20000"/>
                              <a:lumOff val="80000"/>
                            </a:schemeClr>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center"/>
                                <w:rPr>
                                  <w:rFonts w:ascii="楷体" w:hAnsi="楷体" w:eastAsia="楷体" w:cs="Times New Roman"/>
                                  <w:kern w:val="2"/>
                                  <w:sz w:val="20"/>
                                  <w:szCs w:val="20"/>
                                </w:rPr>
                              </w:pPr>
                              <w:r>
                                <w:rPr>
                                  <w:rFonts w:hint="eastAsia" w:ascii="楷体" w:hAnsi="楷体" w:eastAsia="楷体" w:cs="Times New Roman"/>
                                  <w:kern w:val="2"/>
                                  <w:sz w:val="20"/>
                                  <w:szCs w:val="20"/>
                                </w:rPr>
                                <w:t>长沙经济</w:t>
                              </w:r>
                            </w:p>
                            <w:p>
                              <w:pPr>
                                <w:pStyle w:val="9"/>
                                <w:spacing w:before="0" w:beforeAutospacing="0" w:after="0" w:afterAutospacing="0" w:line="240" w:lineRule="exact"/>
                                <w:jc w:val="center"/>
                              </w:pPr>
                              <w:r>
                                <w:rPr>
                                  <w:rFonts w:hint="eastAsia" w:ascii="楷体" w:hAnsi="楷体" w:eastAsia="楷体" w:cs="Times New Roman"/>
                                  <w:kern w:val="2"/>
                                  <w:sz w:val="20"/>
                                  <w:szCs w:val="20"/>
                                </w:rPr>
                                <w:t>开发区</w:t>
                              </w:r>
                            </w:p>
                          </w:txbxContent>
                        </wps:txbx>
                        <wps:bodyPr rot="0" spcFirstLastPara="0" vert="horz" wrap="square" lIns="91440" tIns="45720" rIns="91440" bIns="45720" numCol="1" spcCol="0" rtlCol="0" fromWordArt="0" anchor="t" anchorCtr="0" forceAA="0" compatLnSpc="1">
                          <a:noAutofit/>
                        </wps:bodyPr>
                      </wps:wsp>
                      <wps:wsp>
                        <wps:cNvPr id="99" name="文本框 99"/>
                        <wps:cNvSpPr txBox="1"/>
                        <wps:spPr>
                          <a:xfrm>
                            <a:off x="140953" y="1597452"/>
                            <a:ext cx="882502" cy="410120"/>
                          </a:xfrm>
                          <a:prstGeom prst="rect">
                            <a:avLst/>
                          </a:prstGeom>
                          <a:solidFill>
                            <a:schemeClr val="accent1">
                              <a:lumMod val="20000"/>
                              <a:lumOff val="80000"/>
                            </a:schemeClr>
                          </a:solidFill>
                          <a:ln w="635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exact"/>
                                <w:jc w:val="center"/>
                                <w:rPr>
                                  <w:rFonts w:ascii="楷体" w:hAnsi="楷体" w:eastAsia="楷体"/>
                                  <w:sz w:val="20"/>
                                  <w:szCs w:val="20"/>
                                </w:rPr>
                              </w:pPr>
                              <w:r>
                                <w:rPr>
                                  <w:rFonts w:hint="eastAsia" w:ascii="楷体" w:hAnsi="楷体" w:eastAsia="楷体"/>
                                  <w:sz w:val="20"/>
                                  <w:szCs w:val="20"/>
                                </w:rPr>
                                <w:t>长沙捞霞</w:t>
                              </w:r>
                            </w:p>
                            <w:p>
                              <w:pPr>
                                <w:spacing w:line="240" w:lineRule="exact"/>
                                <w:jc w:val="center"/>
                                <w:rPr>
                                  <w:rFonts w:ascii="楷体" w:hAnsi="楷体" w:eastAsia="楷体"/>
                                  <w:sz w:val="20"/>
                                  <w:szCs w:val="20"/>
                                </w:rPr>
                              </w:pPr>
                              <w:r>
                                <w:rPr>
                                  <w:rFonts w:hint="eastAsia" w:ascii="楷体" w:hAnsi="楷体" w:eastAsia="楷体"/>
                                  <w:sz w:val="20"/>
                                  <w:szCs w:val="20"/>
                                </w:rPr>
                                <w:t>经济开发区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8" name="直接连接符 98"/>
                        <wps:cNvCnPr/>
                        <wps:spPr>
                          <a:xfrm flipV="1">
                            <a:off x="6068" y="1484777"/>
                            <a:ext cx="5003871" cy="14816"/>
                          </a:xfrm>
                          <a:prstGeom prst="line">
                            <a:avLst/>
                          </a:prstGeom>
                          <a:ln w="28575">
                            <a:solidFill>
                              <a:srgbClr val="00B050"/>
                            </a:solidFill>
                            <a:prstDash val="solid"/>
                          </a:ln>
                        </wps:spPr>
                        <wps:style>
                          <a:lnRef idx="1">
                            <a:schemeClr val="dk1"/>
                          </a:lnRef>
                          <a:fillRef idx="0">
                            <a:schemeClr val="dk1"/>
                          </a:fillRef>
                          <a:effectRef idx="0">
                            <a:schemeClr val="dk1"/>
                          </a:effectRef>
                          <a:fontRef idx="minor">
                            <a:schemeClr val="tx1"/>
                          </a:fontRef>
                        </wps:style>
                        <wps:bodyPr/>
                      </wps:wsp>
                      <wps:wsp>
                        <wps:cNvPr id="100" name="流程图: 联系 100"/>
                        <wps:cNvSpPr/>
                        <wps:spPr>
                          <a:xfrm>
                            <a:off x="66537" y="1466164"/>
                            <a:ext cx="74428" cy="85061"/>
                          </a:xfrm>
                          <a:prstGeom prst="flowChartConnector">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1" name="图片 101"/>
                          <pic:cNvPicPr>
                            <a:picLocks noChangeAspect="1"/>
                          </pic:cNvPicPr>
                        </pic:nvPicPr>
                        <pic:blipFill>
                          <a:blip r:embed="rId15"/>
                          <a:stretch>
                            <a:fillRect/>
                          </a:stretch>
                        </pic:blipFill>
                        <pic:spPr>
                          <a:xfrm>
                            <a:off x="1023467" y="1434267"/>
                            <a:ext cx="97544" cy="109738"/>
                          </a:xfrm>
                          <a:prstGeom prst="rect">
                            <a:avLst/>
                          </a:prstGeom>
                        </pic:spPr>
                      </pic:pic>
                      <pic:pic xmlns:pic="http://schemas.openxmlformats.org/drawingml/2006/picture">
                        <pic:nvPicPr>
                          <pic:cNvPr id="104" name="图片 104"/>
                          <pic:cNvPicPr/>
                        </pic:nvPicPr>
                        <pic:blipFill>
                          <a:blip r:embed="rId15"/>
                          <a:stretch>
                            <a:fillRect/>
                          </a:stretch>
                        </pic:blipFill>
                        <pic:spPr>
                          <a:xfrm>
                            <a:off x="3307232" y="1426293"/>
                            <a:ext cx="97155" cy="117712"/>
                          </a:xfrm>
                          <a:prstGeom prst="rect">
                            <a:avLst/>
                          </a:prstGeom>
                        </pic:spPr>
                      </pic:pic>
                      <wps:wsp>
                        <wps:cNvPr id="107" name="直接连接符 107"/>
                        <wps:cNvCnPr>
                          <a:stCxn id="100" idx="2"/>
                        </wps:cNvCnPr>
                        <wps:spPr>
                          <a:xfrm flipV="1">
                            <a:off x="66537" y="912518"/>
                            <a:ext cx="0" cy="596177"/>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wps:spPr>
                          <a:xfrm>
                            <a:off x="66537" y="912518"/>
                            <a:ext cx="467833"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9" name="流程图: 联系 109"/>
                        <wps:cNvSpPr/>
                        <wps:spPr>
                          <a:xfrm>
                            <a:off x="2103850" y="1426294"/>
                            <a:ext cx="99831" cy="110946"/>
                          </a:xfrm>
                          <a:prstGeom prst="flowChartConnector">
                            <a:avLst/>
                          </a:prstGeom>
                          <a:solidFill>
                            <a:srgbClr val="FF0000"/>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 name="文本框 99"/>
                        <wps:cNvSpPr txBox="1"/>
                        <wps:spPr>
                          <a:xfrm>
                            <a:off x="534339" y="648067"/>
                            <a:ext cx="1254642" cy="423632"/>
                          </a:xfrm>
                          <a:prstGeom prst="rect">
                            <a:avLst/>
                          </a:prstGeom>
                          <a:solidFill>
                            <a:srgbClr val="FFCCFF"/>
                          </a:solidFill>
                          <a:ln w="6350">
                            <a:solidFill>
                              <a:schemeClr val="tx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center"/>
                                <w:rPr>
                                  <w:sz w:val="18"/>
                                  <w:szCs w:val="18"/>
                                </w:rPr>
                              </w:pPr>
                              <w:r>
                                <w:rPr>
                                  <w:rFonts w:hint="eastAsia" w:cs="Times New Roman"/>
                                  <w:sz w:val="18"/>
                                  <w:szCs w:val="18"/>
                                </w:rPr>
                                <w:t>1992.12-1997.11</w:t>
                              </w:r>
                            </w:p>
                            <w:p>
                              <w:pPr>
                                <w:pStyle w:val="9"/>
                                <w:spacing w:before="0" w:beforeAutospacing="0" w:after="0" w:afterAutospacing="0" w:line="240" w:lineRule="exact"/>
                                <w:jc w:val="center"/>
                                <w:rPr>
                                  <w:sz w:val="18"/>
                                  <w:szCs w:val="18"/>
                                </w:rPr>
                              </w:pPr>
                              <w:r>
                                <w:rPr>
                                  <w:rFonts w:hAnsi="Times New Roman" w:cs="Times New Roman"/>
                                  <w:sz w:val="18"/>
                                  <w:szCs w:val="18"/>
                                </w:rPr>
                                <w:t>长沙</w:t>
                              </w:r>
                              <w:r>
                                <w:rPr>
                                  <w:rFonts w:hint="eastAsia" w:hAnsi="Times New Roman" w:cs="Times New Roman"/>
                                  <w:sz w:val="18"/>
                                  <w:szCs w:val="18"/>
                                </w:rPr>
                                <w:t>市直管</w:t>
                              </w:r>
                            </w:p>
                          </w:txbxContent>
                        </wps:txbx>
                        <wps:bodyPr rot="0" spcFirstLastPara="0" vert="horz" wrap="square" lIns="91440" tIns="45720" rIns="91440" bIns="45720" numCol="1" spcCol="0" rtlCol="0" fromWordArt="0" anchor="t" anchorCtr="0" forceAA="0" compatLnSpc="1">
                          <a:noAutofit/>
                        </wps:bodyPr>
                      </wps:wsp>
                      <wps:wsp>
                        <wps:cNvPr id="111" name="直接连接符 111"/>
                        <wps:cNvCnPr/>
                        <wps:spPr>
                          <a:xfrm>
                            <a:off x="1789012" y="912518"/>
                            <a:ext cx="329458" cy="0"/>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接连接符 112"/>
                        <wps:cNvCnPr>
                          <a:endCxn id="109" idx="1"/>
                        </wps:cNvCnPr>
                        <wps:spPr>
                          <a:xfrm>
                            <a:off x="2118470" y="391523"/>
                            <a:ext cx="0" cy="1051019"/>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 name="流程图: 联系 113"/>
                        <wps:cNvSpPr/>
                        <wps:spPr>
                          <a:xfrm flipV="1">
                            <a:off x="2650250" y="1410566"/>
                            <a:ext cx="109514" cy="128201"/>
                          </a:xfrm>
                          <a:prstGeom prst="flowChartConnector">
                            <a:avLst/>
                          </a:prstGeom>
                          <a:solidFill>
                            <a:srgbClr val="FF0000"/>
                          </a:solidFill>
                          <a:ln w="25400" cap="flat" cmpd="sng" algn="ctr">
                            <a:solidFill>
                              <a:srgbClr val="4F81B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14" name="直接连接符 114"/>
                        <wps:cNvCnPr/>
                        <wps:spPr>
                          <a:xfrm flipH="1">
                            <a:off x="2688215" y="391523"/>
                            <a:ext cx="4564" cy="1022233"/>
                          </a:xfrm>
                          <a:prstGeom prst="line">
                            <a:avLst/>
                          </a:prstGeom>
                          <a:noFill/>
                          <a:ln w="9525" cap="flat" cmpd="sng" algn="ctr">
                            <a:solidFill>
                              <a:srgbClr val="1F497D">
                                <a:lumMod val="7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5" name="直接连接符 115"/>
                        <wps:cNvCnPr/>
                        <wps:spPr>
                          <a:xfrm>
                            <a:off x="2097623" y="391523"/>
                            <a:ext cx="59515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6" name="文本框 99"/>
                        <wps:cNvSpPr txBox="1"/>
                        <wps:spPr>
                          <a:xfrm>
                            <a:off x="1789012" y="25"/>
                            <a:ext cx="1207813" cy="391498"/>
                          </a:xfrm>
                          <a:prstGeom prst="rect">
                            <a:avLst/>
                          </a:prstGeom>
                          <a:solidFill>
                            <a:srgbClr val="FFCCFF"/>
                          </a:solidFill>
                          <a:ln w="6350">
                            <a:solidFill>
                              <a:srgbClr val="1F497D">
                                <a:lumMod val="75000"/>
                              </a:srgbClr>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center"/>
                                <w:rPr>
                                  <w:sz w:val="18"/>
                                  <w:szCs w:val="18"/>
                                </w:rPr>
                              </w:pPr>
                              <w:r>
                                <w:rPr>
                                  <w:rFonts w:hint="eastAsia" w:cs="Times New Roman"/>
                                  <w:sz w:val="18"/>
                                  <w:szCs w:val="18"/>
                                </w:rPr>
                                <w:t>1997.11-2001.10</w:t>
                              </w:r>
                            </w:p>
                            <w:p>
                              <w:pPr>
                                <w:pStyle w:val="9"/>
                                <w:spacing w:before="0" w:beforeAutospacing="0" w:after="0" w:afterAutospacing="0" w:line="240" w:lineRule="exact"/>
                                <w:jc w:val="center"/>
                                <w:rPr>
                                  <w:sz w:val="18"/>
                                  <w:szCs w:val="18"/>
                                </w:rPr>
                              </w:pPr>
                              <w:r>
                                <w:rPr>
                                  <w:rFonts w:hAnsi="Times New Roman" w:cs="Times New Roman"/>
                                  <w:sz w:val="18"/>
                                  <w:szCs w:val="18"/>
                                </w:rPr>
                                <w:t>长沙市</w:t>
                              </w:r>
                              <w:r>
                                <w:rPr>
                                  <w:rFonts w:hint="eastAsia" w:hAnsi="Times New Roman" w:cs="Times New Roman"/>
                                  <w:sz w:val="18"/>
                                  <w:szCs w:val="18"/>
                                </w:rPr>
                                <w:t>开福区管理</w:t>
                              </w:r>
                            </w:p>
                          </w:txbxContent>
                        </wps:txbx>
                        <wps:bodyPr rot="0" spcFirstLastPara="0" vert="horz" wrap="square" lIns="91440" tIns="45720" rIns="91440" bIns="45720" numCol="1" spcCol="0" rtlCol="0" fromWordArt="0" anchor="t" anchorCtr="0" forceAA="0" compatLnSpc="1">
                          <a:noAutofit/>
                        </wps:bodyPr>
                      </wps:wsp>
                      <wps:wsp>
                        <wps:cNvPr id="117" name="直接连接符 117"/>
                        <wps:cNvCnPr/>
                        <wps:spPr>
                          <a:xfrm>
                            <a:off x="2688215" y="648299"/>
                            <a:ext cx="308610" cy="0"/>
                          </a:xfrm>
                          <a:prstGeom prst="line">
                            <a:avLst/>
                          </a:prstGeom>
                          <a:noFill/>
                          <a:ln w="9525" cap="flat" cmpd="sng" algn="ctr">
                            <a:solidFill>
                              <a:srgbClr val="1F497D">
                                <a:lumMod val="7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8" name="直接连接符 118"/>
                        <wps:cNvCnPr/>
                        <wps:spPr>
                          <a:xfrm>
                            <a:off x="3500100" y="816825"/>
                            <a:ext cx="0" cy="683144"/>
                          </a:xfrm>
                          <a:prstGeom prst="line">
                            <a:avLst/>
                          </a:prstGeom>
                          <a:noFill/>
                          <a:ln w="9525" cap="flat" cmpd="sng" algn="ctr">
                            <a:solidFill>
                              <a:srgbClr val="1F497D">
                                <a:lumMod val="7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19" name="文本框 99"/>
                        <wps:cNvSpPr txBox="1"/>
                        <wps:spPr>
                          <a:xfrm>
                            <a:off x="2996676" y="391337"/>
                            <a:ext cx="1289577" cy="425226"/>
                          </a:xfrm>
                          <a:prstGeom prst="rect">
                            <a:avLst/>
                          </a:prstGeom>
                          <a:solidFill>
                            <a:srgbClr val="FFCCFF"/>
                          </a:solidFill>
                          <a:ln w="6350">
                            <a:solidFill>
                              <a:srgbClr val="1F497D">
                                <a:lumMod val="75000"/>
                              </a:srgbClr>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center"/>
                                <w:rPr>
                                  <w:sz w:val="18"/>
                                  <w:szCs w:val="18"/>
                                </w:rPr>
                              </w:pPr>
                              <w:r>
                                <w:rPr>
                                  <w:rFonts w:hint="eastAsia" w:cs="Times New Roman"/>
                                  <w:sz w:val="18"/>
                                  <w:szCs w:val="18"/>
                                </w:rPr>
                                <w:t>2001.10-2006.3</w:t>
                              </w:r>
                            </w:p>
                            <w:p>
                              <w:pPr>
                                <w:pStyle w:val="9"/>
                                <w:spacing w:before="0" w:beforeAutospacing="0" w:after="0" w:afterAutospacing="0" w:line="240" w:lineRule="exact"/>
                                <w:jc w:val="center"/>
                                <w:rPr>
                                  <w:sz w:val="18"/>
                                  <w:szCs w:val="18"/>
                                </w:rPr>
                              </w:pPr>
                              <w:r>
                                <w:rPr>
                                  <w:rFonts w:hAnsi="Times New Roman" w:cs="Times New Roman"/>
                                  <w:sz w:val="18"/>
                                  <w:szCs w:val="18"/>
                                </w:rPr>
                                <w:t>长沙市</w:t>
                              </w:r>
                              <w:r>
                                <w:rPr>
                                  <w:rFonts w:hint="eastAsia" w:hAnsi="Times New Roman" w:cs="Times New Roman"/>
                                  <w:sz w:val="18"/>
                                  <w:szCs w:val="18"/>
                                </w:rPr>
                                <w:t>环路公司管理</w:t>
                              </w:r>
                            </w:p>
                          </w:txbxContent>
                        </wps:txbx>
                        <wps:bodyPr rot="0" spcFirstLastPara="0" vert="horz" wrap="square" lIns="91440" tIns="45720" rIns="91440" bIns="45720" numCol="1" spcCol="0" rtlCol="0" fromWordArt="0" anchor="t" anchorCtr="0" forceAA="0" compatLnSpc="1">
                          <a:noAutofit/>
                        </wps:bodyPr>
                      </wps:wsp>
                      <wps:wsp>
                        <wps:cNvPr id="120" name="肘形连接符 120"/>
                        <wps:cNvCnPr>
                          <a:stCxn id="100" idx="3"/>
                          <a:endCxn id="99" idx="1"/>
                        </wps:cNvCnPr>
                        <wps:spPr>
                          <a:xfrm rot="16200000" flipH="1">
                            <a:off x="-22677" y="1638882"/>
                            <a:ext cx="263744" cy="63516"/>
                          </a:xfrm>
                          <a:prstGeom prst="bentConnector2">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1" name="肘形连接符 121"/>
                        <wps:cNvCnPr>
                          <a:stCxn id="101" idx="1"/>
                        </wps:cNvCnPr>
                        <wps:spPr>
                          <a:xfrm rot="10800000" flipH="1" flipV="1">
                            <a:off x="1023466" y="1489136"/>
                            <a:ext cx="97544" cy="403842"/>
                          </a:xfrm>
                          <a:prstGeom prst="bentConnector4">
                            <a:avLst>
                              <a:gd name="adj1" fmla="val 49052"/>
                              <a:gd name="adj2" fmla="val 104184"/>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2" name="肘形连接符 122"/>
                        <wps:cNvCnPr/>
                        <wps:spPr>
                          <a:xfrm rot="5400000">
                            <a:off x="3030520" y="1696076"/>
                            <a:ext cx="541646" cy="80997"/>
                          </a:xfrm>
                          <a:prstGeom prst="bentConnector3">
                            <a:avLst>
                              <a:gd name="adj1" fmla="val 99045"/>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23" name="文本框 99"/>
                        <wps:cNvSpPr txBox="1"/>
                        <wps:spPr>
                          <a:xfrm>
                            <a:off x="3882872" y="909520"/>
                            <a:ext cx="1207770" cy="391160"/>
                          </a:xfrm>
                          <a:prstGeom prst="rect">
                            <a:avLst/>
                          </a:prstGeom>
                          <a:solidFill>
                            <a:srgbClr val="FFCCFF"/>
                          </a:solidFill>
                          <a:ln w="6350">
                            <a:solidFill>
                              <a:srgbClr val="1F497D">
                                <a:lumMod val="75000"/>
                              </a:srgbClr>
                            </a:solidFill>
                          </a:ln>
                          <a:effectLst/>
                        </wps:spPr>
                        <wps:style>
                          <a:lnRef idx="0">
                            <a:schemeClr val="accent1"/>
                          </a:lnRef>
                          <a:fillRef idx="0">
                            <a:schemeClr val="accent1"/>
                          </a:fillRef>
                          <a:effectRef idx="0">
                            <a:schemeClr val="accent1"/>
                          </a:effectRef>
                          <a:fontRef idx="minor">
                            <a:schemeClr val="dk1"/>
                          </a:fontRef>
                        </wps:style>
                        <wps:txbx>
                          <w:txbxContent>
                            <w:p>
                              <w:pPr>
                                <w:pStyle w:val="9"/>
                                <w:spacing w:before="0" w:beforeAutospacing="0" w:after="0" w:afterAutospacing="0" w:line="240" w:lineRule="exact"/>
                                <w:jc w:val="center"/>
                              </w:pPr>
                              <w:r>
                                <w:rPr>
                                  <w:rFonts w:hint="eastAsia" w:cs="Times New Roman"/>
                                  <w:sz w:val="18"/>
                                  <w:szCs w:val="18"/>
                                </w:rPr>
                                <w:t>2006.3-至今</w:t>
                              </w:r>
                            </w:p>
                            <w:p>
                              <w:pPr>
                                <w:pStyle w:val="9"/>
                                <w:spacing w:before="0" w:beforeAutospacing="0" w:after="0" w:afterAutospacing="0" w:line="240" w:lineRule="exact"/>
                                <w:jc w:val="center"/>
                              </w:pPr>
                              <w:r>
                                <w:rPr>
                                  <w:rFonts w:hAnsi="Times New Roman" w:cs="Times New Roman"/>
                                  <w:sz w:val="18"/>
                                  <w:szCs w:val="18"/>
                                </w:rPr>
                                <w:t>长沙市开福区管理</w:t>
                              </w:r>
                            </w:p>
                          </w:txbxContent>
                        </wps:txbx>
                        <wps:bodyPr rot="0" spcFirstLastPara="0" vert="horz" wrap="square" lIns="91440" tIns="45720" rIns="91440" bIns="45720" numCol="1" spcCol="0" rtlCol="0" fromWordArt="0" anchor="t" anchorCtr="0" forceAA="0" compatLnSpc="1">
                          <a:noAutofit/>
                        </wps:bodyPr>
                      </wps:wsp>
                      <wps:wsp>
                        <wps:cNvPr id="124" name="直接连接符 124"/>
                        <wps:cNvCnPr/>
                        <wps:spPr>
                          <a:xfrm>
                            <a:off x="3500100" y="1072007"/>
                            <a:ext cx="382772" cy="0"/>
                          </a:xfrm>
                          <a:prstGeom prst="line">
                            <a:avLst/>
                          </a:prstGeom>
                          <a:noFill/>
                          <a:ln w="9525" cap="flat" cmpd="sng" algn="ctr">
                            <a:solidFill>
                              <a:srgbClr val="1F497D">
                                <a:lumMod val="75000"/>
                              </a:srgbClr>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125" name="流程图: 联系 125"/>
                        <wps:cNvSpPr/>
                        <wps:spPr>
                          <a:xfrm>
                            <a:off x="3500100" y="1424765"/>
                            <a:ext cx="117712" cy="112475"/>
                          </a:xfrm>
                          <a:prstGeom prst="flowChartConnector">
                            <a:avLst/>
                          </a:prstGeom>
                          <a:solidFill>
                            <a:srgbClr val="FF0000"/>
                          </a:solidFill>
                          <a:ln w="25400" cap="flat" cmpd="sng" algn="ctr">
                            <a:solidFill>
                              <a:srgbClr val="4F81BD">
                                <a:lumMod val="75000"/>
                              </a:srgbClr>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185pt;width:403.5pt;" coordsize="5124450,2349500" editas="canvas" o:gfxdata="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">
                <o:lock v:ext="edit" aspectratio="f"/>
                <v:shape id="_x0000_s1026" o:spid="_x0000_s1026" style="position:absolute;left:0;top:0;height:2349500;width:5124450;" filled="f" stroked="f" coordsize="21600,21600" o:gfxdata="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">
                  <v:fill on="f" focussize="0,0"/>
                  <v:stroke on="f"/>
                  <v:imagedata o:title=""/>
                  <o:lock v:ext="edit" aspectratio="t"/>
                </v:shape>
                <v:shape id="文本框 126" o:spid="_x0000_s1026" o:spt="202" type="#_x0000_t202" style="position:absolute;left:3499933;top:1237331;height:272086;width:566420;" fillcolor="#FFFFFF" filled="t" stroked="t" coordsize="21600,21600" o:gfxdata="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dk8snUAAAABQEAAA8AAAAAAAAAAQAgAAAAIgAA&#10;AGRycy9kb3ducmV2LnhtbFBLAQIUABQAAAAIAIdO4kCi3tBbRQIAAHcEAAAOAAAAAAAAAAEAIAAA&#10;ACMBAABkcnMvZTJvRG9jLnhtbFBLBQYAAAAABgAGAFkBAADaBQAAAAA=&#10;">
                  <v:fill on="t" focussize="0,0"/>
                  <v:stroke weight="0.5pt" color="#FFFFFF [3204]" joinstyle="round"/>
                  <v:imagedata o:title=""/>
                  <o:lock v:ext="edit" aspectratio="f"/>
                  <v:textbox>
                    <w:txbxContent>
                      <w:p>
                        <w:pPr>
                          <w:pStyle w:val="9"/>
                          <w:spacing w:before="0" w:beforeAutospacing="0" w:after="0" w:afterAutospacing="0" w:line="240" w:lineRule="exact"/>
                          <w:jc w:val="both"/>
                        </w:pPr>
                        <w:r>
                          <w:rPr>
                            <w:rFonts w:hint="eastAsia" w:cs="Times New Roman"/>
                            <w:kern w:val="2"/>
                            <w:sz w:val="18"/>
                            <w:szCs w:val="18"/>
                          </w:rPr>
                          <w:t>2006</w:t>
                        </w:r>
                        <w:r>
                          <w:rPr>
                            <w:rFonts w:cs="Times New Roman"/>
                            <w:kern w:val="2"/>
                            <w:sz w:val="18"/>
                            <w:szCs w:val="18"/>
                          </w:rPr>
                          <w:t>.</w:t>
                        </w:r>
                        <w:r>
                          <w:rPr>
                            <w:rFonts w:hint="eastAsia" w:cs="Times New Roman"/>
                            <w:kern w:val="2"/>
                            <w:sz w:val="18"/>
                            <w:szCs w:val="18"/>
                          </w:rPr>
                          <w:t>3</w:t>
                        </w:r>
                      </w:p>
                    </w:txbxContent>
                  </v:textbox>
                </v:shape>
                <v:shape id="文本框 126" o:spid="_x0000_s1026" o:spt="202" type="#_x0000_t202" style="position:absolute;left:3277861;top:1536852;height:265239;width:566420;" fillcolor="#FFFFFF" filled="t" stroked="t" coordsize="21600,21600" o:gfxdata="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&#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dk8snUAAAABQEAAA8AAAAAAAAAAQAgAAAAIgAAAGRy&#10;cy9kb3ducmV2LnhtbFBLAQIUABQAAAAIAIdO4kDGi9xWQgIAAHcEAAAOAAAAAAAAAAEAIAAAACMB&#10;AABkcnMvZTJvRG9jLnhtbFBLBQYAAAAABgAGAFkBAADXBQAAAAA=&#10;">
                  <v:fill on="t" focussize="0,0"/>
                  <v:stroke weight="0.5pt" color="#FFFFFF [3204]" joinstyle="round"/>
                  <v:imagedata o:title=""/>
                  <o:lock v:ext="edit" aspectratio="f"/>
                  <v:textbox>
                    <w:txbxContent>
                      <w:p>
                        <w:pPr>
                          <w:pStyle w:val="9"/>
                          <w:spacing w:before="0" w:beforeAutospacing="0" w:after="0" w:afterAutospacing="0" w:line="240" w:lineRule="exact"/>
                          <w:jc w:val="both"/>
                        </w:pPr>
                        <w:r>
                          <w:rPr>
                            <w:rFonts w:hint="eastAsia" w:cs="Times New Roman"/>
                            <w:kern w:val="2"/>
                            <w:sz w:val="18"/>
                            <w:szCs w:val="18"/>
                          </w:rPr>
                          <w:t>2006</w:t>
                        </w:r>
                        <w:r>
                          <w:rPr>
                            <w:rFonts w:cs="Times New Roman"/>
                            <w:kern w:val="2"/>
                            <w:sz w:val="18"/>
                            <w:szCs w:val="18"/>
                          </w:rPr>
                          <w:t>.12</w:t>
                        </w:r>
                      </w:p>
                    </w:txbxContent>
                  </v:textbox>
                </v:shape>
                <v:shape id="文本框 126" o:spid="_x0000_s1026" o:spt="202" type="#_x0000_t202" style="position:absolute;left:2692520;top:1211471;height:272472;width:649349;" fillcolor="#FFFFFF" filled="t" stroked="t" coordsize="21600,21600" o:gfxdata="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dk8snUAAAABQEAAA8AAAAAAAAAAQAgAAAAIgAAAGRy&#10;cy9kb3ducmV2LnhtbFBLAQIUABQAAAAIAIdO4kChpS74QgIAAHcEAAAOAAAAAAAAAAEAIAAAACMB&#10;AABkcnMvZTJvRG9jLnhtbFBLBQYAAAAABgAGAFkBAADXBQAAAAA=&#10;">
                  <v:fill on="t" focussize="0,0"/>
                  <v:stroke weight="0.5pt" color="#FFFFFF [3204]" joinstyle="round"/>
                  <v:imagedata o:title=""/>
                  <o:lock v:ext="edit" aspectratio="f"/>
                  <v:textbox>
                    <w:txbxContent>
                      <w:p>
                        <w:pPr>
                          <w:pStyle w:val="9"/>
                          <w:spacing w:before="0" w:beforeAutospacing="0" w:after="0" w:afterAutospacing="0" w:line="240" w:lineRule="exact"/>
                          <w:jc w:val="both"/>
                        </w:pPr>
                        <w:r>
                          <w:rPr>
                            <w:rFonts w:hint="eastAsia" w:cs="Times New Roman"/>
                            <w:kern w:val="2"/>
                            <w:sz w:val="18"/>
                            <w:szCs w:val="18"/>
                          </w:rPr>
                          <w:t>2001</w:t>
                        </w:r>
                        <w:r>
                          <w:rPr>
                            <w:rFonts w:cs="Times New Roman"/>
                            <w:kern w:val="2"/>
                            <w:sz w:val="18"/>
                            <w:szCs w:val="18"/>
                          </w:rPr>
                          <w:t>.1</w:t>
                        </w:r>
                        <w:r>
                          <w:rPr>
                            <w:rFonts w:hint="eastAsia" w:cs="Times New Roman"/>
                            <w:kern w:val="2"/>
                            <w:sz w:val="18"/>
                            <w:szCs w:val="18"/>
                          </w:rPr>
                          <w:t>0</w:t>
                        </w:r>
                      </w:p>
                    </w:txbxContent>
                  </v:textbox>
                </v:shape>
                <v:shape id="文本框 126" o:spid="_x0000_s1026" o:spt="202" type="#_x0000_t202" style="position:absolute;left:2032689;top:1508314;height:293340;width:617460;" fillcolor="#FFFFFF" filled="t" stroked="t" coordsize="21600,21600" o:gfxdata="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nZPLJ1AAAAAUBAAAPAAAAAAAAAAEAIAAAACIA&#10;AABkcnMvZG93bnJldi54bWxQSwECFAAUAAAACACHTuJAeFTNXUYCAAB3BAAADgAAAAAAAAABACAA&#10;AAAjAQAAZHJzL2Uyb0RvYy54bWxQSwUGAAAAAAYABgBZAQAA2wUAAAAA&#10;">
                  <v:fill on="t" focussize="0,0"/>
                  <v:stroke weight="0.5pt" color="#FFFFFF [3204]" joinstyle="round"/>
                  <v:imagedata o:title=""/>
                  <o:lock v:ext="edit" aspectratio="f"/>
                  <v:textbox>
                    <w:txbxContent>
                      <w:p>
                        <w:pPr>
                          <w:pStyle w:val="9"/>
                          <w:spacing w:before="0" w:beforeAutospacing="0" w:after="0" w:afterAutospacing="0" w:line="240" w:lineRule="exact"/>
                          <w:jc w:val="both"/>
                        </w:pPr>
                        <w:r>
                          <w:rPr>
                            <w:rFonts w:cs="Times New Roman"/>
                            <w:kern w:val="2"/>
                            <w:sz w:val="18"/>
                            <w:szCs w:val="18"/>
                          </w:rPr>
                          <w:t>199</w:t>
                        </w:r>
                        <w:r>
                          <w:rPr>
                            <w:rFonts w:hint="eastAsia" w:cs="Times New Roman"/>
                            <w:kern w:val="2"/>
                            <w:sz w:val="18"/>
                            <w:szCs w:val="18"/>
                          </w:rPr>
                          <w:t>7</w:t>
                        </w:r>
                        <w:r>
                          <w:rPr>
                            <w:rFonts w:cs="Times New Roman"/>
                            <w:kern w:val="2"/>
                            <w:sz w:val="18"/>
                            <w:szCs w:val="18"/>
                          </w:rPr>
                          <w:t>.</w:t>
                        </w:r>
                        <w:r>
                          <w:rPr>
                            <w:rFonts w:hint="eastAsia" w:cs="Times New Roman"/>
                            <w:kern w:val="2"/>
                            <w:sz w:val="18"/>
                            <w:szCs w:val="18"/>
                          </w:rPr>
                          <w:t>11</w:t>
                        </w:r>
                      </w:p>
                    </w:txbxContent>
                  </v:textbox>
                </v:shape>
                <v:shape id="文本框 126" o:spid="_x0000_s1026" o:spt="202" type="#_x0000_t202" style="position:absolute;left:1087399;top:1211803;height:272088;width:566420;" fillcolor="#FFFFFF" filled="t" stroked="t" coordsize="21600,21600" o:gfxdata="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dk8snUAAAABQEAAA8AAAAAAAAAAQAgAAAAIgAAAGRy&#10;cy9kb3ducmV2LnhtbFBLAQIUABQAAAAIAIdO4kBAXM3rQgIAAHcEAAAOAAAAAAAAAAEAIAAAACMB&#10;AABkcnMvZTJvRG9jLnhtbFBLBQYAAAAABgAGAFkBAADXBQAAAAA=&#10;">
                  <v:fill on="t" focussize="0,0"/>
                  <v:stroke weight="0.5pt" color="#FFFFFF [3204]" joinstyle="round"/>
                  <v:imagedata o:title=""/>
                  <o:lock v:ext="edit" aspectratio="f"/>
                  <v:textbox>
                    <w:txbxContent>
                      <w:p>
                        <w:pPr>
                          <w:pStyle w:val="9"/>
                          <w:spacing w:before="0" w:beforeAutospacing="0" w:after="0" w:afterAutospacing="0" w:line="240" w:lineRule="exact"/>
                          <w:jc w:val="both"/>
                        </w:pPr>
                        <w:r>
                          <w:rPr>
                            <w:rFonts w:cs="Times New Roman"/>
                            <w:kern w:val="2"/>
                            <w:sz w:val="18"/>
                            <w:szCs w:val="18"/>
                          </w:rPr>
                          <w:t>199</w:t>
                        </w:r>
                        <w:r>
                          <w:rPr>
                            <w:rFonts w:hint="eastAsia" w:cs="Times New Roman"/>
                            <w:kern w:val="2"/>
                            <w:sz w:val="18"/>
                            <w:szCs w:val="18"/>
                          </w:rPr>
                          <w:t>4</w:t>
                        </w:r>
                        <w:r>
                          <w:rPr>
                            <w:rFonts w:cs="Times New Roman"/>
                            <w:kern w:val="2"/>
                            <w:sz w:val="18"/>
                            <w:szCs w:val="18"/>
                          </w:rPr>
                          <w:t>.</w:t>
                        </w:r>
                        <w:r>
                          <w:rPr>
                            <w:rFonts w:hint="eastAsia" w:cs="Times New Roman"/>
                            <w:kern w:val="2"/>
                            <w:sz w:val="18"/>
                            <w:szCs w:val="18"/>
                          </w:rPr>
                          <w:t>9</w:t>
                        </w:r>
                      </w:p>
                    </w:txbxContent>
                  </v:textbox>
                </v:shape>
                <v:shape id="_x0000_s1026" o:spid="_x0000_s1026" o:spt="202" type="#_x0000_t202" style="position:absolute;left:77391;top:1212135;height:297287;width:566622;" fillcolor="#FFFFFF [3201]" filled="t" stroked="t" coordsize="21600,21600" o:gfxdata="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2TyydQAAAAFAQAADwAAAAAAAAABACAAAAAi&#10;AAAAZHJzL2Rvd25yZXYueG1sUEsBAhQAFAAAAAgAh07iQBJPGvVHAgAAhQQAAA4AAAAAAAAAAQAg&#10;AAAAIwEAAGRycy9lMm9Eb2MueG1sUEsFBgAAAAAGAAYAWQEAANwFAAAAAA==&#10;">
                  <v:fill on="t" focussize="0,0"/>
                  <v:stroke weight="0.5pt" color="#FFFFFF [3212]" joinstyle="round"/>
                  <v:imagedata o:title=""/>
                  <o:lock v:ext="edit" aspectratio="f"/>
                  <v:textbox>
                    <w:txbxContent>
                      <w:p>
                        <w:pPr>
                          <w:spacing w:line="240" w:lineRule="exact"/>
                          <w:rPr>
                            <w:rFonts w:asciiTheme="minorEastAsia" w:hAnsiTheme="minorEastAsia"/>
                            <w:sz w:val="18"/>
                            <w:szCs w:val="18"/>
                          </w:rPr>
                        </w:pPr>
                        <w:r>
                          <w:rPr>
                            <w:rFonts w:hint="eastAsia" w:asciiTheme="minorEastAsia" w:hAnsiTheme="minorEastAsia"/>
                            <w:sz w:val="18"/>
                            <w:szCs w:val="18"/>
                          </w:rPr>
                          <w:t>1992.12</w:t>
                        </w:r>
                      </w:p>
                    </w:txbxContent>
                  </v:textbox>
                </v:shape>
                <v:shape id="文本框 99" o:spid="_x0000_s1026" o:spt="202" type="#_x0000_t202" style="position:absolute;left:2378990;top:1802515;height:449043;width:882015;" fillcolor="#DCE6F2 [660]" filled="t" stroked="t" coordsize="21600,21600" o:gfxdata="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M2n&#10;5dUAAAAFAQAADwAAAAAAAAABACAAAAAiAAAAZHJzL2Rvd25yZXYueG1sUEsBAhQAFAAAAAgAh07i&#10;QPPHEWleAgAAjwQAAA4AAAAAAAAAAQAgAAAAJAEAAGRycy9lMm9Eb2MueG1sUEsFBgAAAAAGAAYA&#10;WQEAAPQFAAAAAA==&#10;">
                  <v:fill on="t" focussize="0,0"/>
                  <v:stroke weight="0.5pt" color="#00B050 [3204]" joinstyle="round"/>
                  <v:imagedata o:title=""/>
                  <o:lock v:ext="edit" aspectratio="f"/>
                  <v:textbox>
                    <w:txbxContent>
                      <w:p>
                        <w:pPr>
                          <w:pStyle w:val="9"/>
                          <w:spacing w:before="0" w:beforeAutospacing="0" w:after="0" w:afterAutospacing="0" w:line="240" w:lineRule="exact"/>
                          <w:jc w:val="center"/>
                          <w:rPr>
                            <w:rFonts w:ascii="楷体" w:hAnsi="楷体" w:eastAsia="楷体" w:cs="Times New Roman"/>
                            <w:sz w:val="20"/>
                            <w:szCs w:val="20"/>
                          </w:rPr>
                        </w:pPr>
                        <w:r>
                          <w:rPr>
                            <w:rFonts w:ascii="楷体" w:hAnsi="楷体" w:eastAsia="楷体" w:cs="Times New Roman"/>
                            <w:sz w:val="20"/>
                            <w:szCs w:val="20"/>
                          </w:rPr>
                          <w:t>长沙</w:t>
                        </w:r>
                        <w:r>
                          <w:rPr>
                            <w:rFonts w:hint="eastAsia" w:ascii="楷体" w:hAnsi="楷体" w:eastAsia="楷体" w:cs="Times New Roman"/>
                            <w:sz w:val="20"/>
                            <w:szCs w:val="20"/>
                          </w:rPr>
                          <w:t>金霞</w:t>
                        </w:r>
                      </w:p>
                      <w:p>
                        <w:pPr>
                          <w:pStyle w:val="9"/>
                          <w:spacing w:before="0" w:beforeAutospacing="0" w:after="0" w:afterAutospacing="0" w:line="240" w:lineRule="exact"/>
                          <w:jc w:val="center"/>
                          <w:rPr>
                            <w:rFonts w:ascii="楷体" w:hAnsi="楷体" w:eastAsia="楷体"/>
                          </w:rPr>
                        </w:pPr>
                        <w:r>
                          <w:rPr>
                            <w:rFonts w:ascii="楷体" w:hAnsi="楷体" w:eastAsia="楷体" w:cs="Times New Roman"/>
                            <w:sz w:val="20"/>
                            <w:szCs w:val="20"/>
                          </w:rPr>
                          <w:t>经济开发区</w:t>
                        </w:r>
                      </w:p>
                    </w:txbxContent>
                  </v:textbox>
                </v:shape>
                <v:shape id="文本框 99" o:spid="_x0000_s1026" o:spt="202" type="#_x0000_t202" style="position:absolute;left:1120893;top:1597375;height:410120;width:788403;" fillcolor="#DCE6F2 [660]" filled="t" stroked="t" coordsize="21600,21600" o:gfxdata="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M2n5dUA&#10;AAAFAQAADwAAAAAAAAABACAAAAAiAAAAZHJzL2Rvd25yZXYueG1sUEsBAhQAFAAAAAgAh07iQF8A&#10;wwZbAgAAjwQAAA4AAAAAAAAAAQAgAAAAJAEAAGRycy9lMm9Eb2MueG1sUEsFBgAAAAAGAAYAWQEA&#10;APEFAAAAAA==&#10;">
                  <v:fill on="t" focussize="0,0"/>
                  <v:stroke weight="0.5pt" color="#00B050 [3204]" joinstyle="round"/>
                  <v:imagedata o:title=""/>
                  <o:lock v:ext="edit" aspectratio="f"/>
                  <v:textbox>
                    <w:txbxContent>
                      <w:p>
                        <w:pPr>
                          <w:pStyle w:val="9"/>
                          <w:spacing w:before="0" w:beforeAutospacing="0" w:after="0" w:afterAutospacing="0" w:line="240" w:lineRule="exact"/>
                          <w:jc w:val="center"/>
                          <w:rPr>
                            <w:rFonts w:ascii="楷体" w:hAnsi="楷体" w:eastAsia="楷体" w:cs="Times New Roman"/>
                            <w:kern w:val="2"/>
                            <w:sz w:val="20"/>
                            <w:szCs w:val="20"/>
                          </w:rPr>
                        </w:pPr>
                        <w:r>
                          <w:rPr>
                            <w:rFonts w:hint="eastAsia" w:ascii="楷体" w:hAnsi="楷体" w:eastAsia="楷体" w:cs="Times New Roman"/>
                            <w:kern w:val="2"/>
                            <w:sz w:val="20"/>
                            <w:szCs w:val="20"/>
                          </w:rPr>
                          <w:t>长沙经济</w:t>
                        </w:r>
                      </w:p>
                      <w:p>
                        <w:pPr>
                          <w:pStyle w:val="9"/>
                          <w:spacing w:before="0" w:beforeAutospacing="0" w:after="0" w:afterAutospacing="0" w:line="240" w:lineRule="exact"/>
                          <w:jc w:val="center"/>
                        </w:pPr>
                        <w:r>
                          <w:rPr>
                            <w:rFonts w:hint="eastAsia" w:ascii="楷体" w:hAnsi="楷体" w:eastAsia="楷体" w:cs="Times New Roman"/>
                            <w:kern w:val="2"/>
                            <w:sz w:val="20"/>
                            <w:szCs w:val="20"/>
                          </w:rPr>
                          <w:t>开发区</w:t>
                        </w:r>
                      </w:p>
                    </w:txbxContent>
                  </v:textbox>
                </v:shape>
                <v:shape id="_x0000_s1026" o:spid="_x0000_s1026" o:spt="202" type="#_x0000_t202" style="position:absolute;left:140953;top:1597452;height:410120;width:882502;" fillcolor="#DCE6F2 [660]" filled="t" stroked="t" coordsize="21600,21600" o:gfxdata="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Uzafl1QAAAAUBAAAPAAAAAAAAAAEAIAAAACIAAABkcnMvZG93bnJldi54&#10;bWxQSwECFAAUAAAACACHTuJA+3OdJW8CAAC9BAAADgAAAAAAAAABACAAAAAkAQAAZHJzL2Uyb0Rv&#10;Yy54bWxQSwUGAAAAAAYABgBZAQAABQYAAAAA&#10;">
                  <v:fill on="t" focussize="0,0"/>
                  <v:stroke weight="0.5pt" color="#00B050 [3204]" joinstyle="round"/>
                  <v:imagedata o:title=""/>
                  <o:lock v:ext="edit" aspectratio="f"/>
                  <v:textbox>
                    <w:txbxContent>
                      <w:p>
                        <w:pPr>
                          <w:spacing w:line="240" w:lineRule="exact"/>
                          <w:jc w:val="center"/>
                          <w:rPr>
                            <w:rFonts w:ascii="楷体" w:hAnsi="楷体" w:eastAsia="楷体"/>
                            <w:sz w:val="20"/>
                            <w:szCs w:val="20"/>
                          </w:rPr>
                        </w:pPr>
                        <w:r>
                          <w:rPr>
                            <w:rFonts w:hint="eastAsia" w:ascii="楷体" w:hAnsi="楷体" w:eastAsia="楷体"/>
                            <w:sz w:val="20"/>
                            <w:szCs w:val="20"/>
                          </w:rPr>
                          <w:t>长沙捞霞</w:t>
                        </w:r>
                      </w:p>
                      <w:p>
                        <w:pPr>
                          <w:spacing w:line="240" w:lineRule="exact"/>
                          <w:jc w:val="center"/>
                          <w:rPr>
                            <w:rFonts w:ascii="楷体" w:hAnsi="楷体" w:eastAsia="楷体"/>
                            <w:sz w:val="20"/>
                            <w:szCs w:val="20"/>
                          </w:rPr>
                        </w:pPr>
                        <w:r>
                          <w:rPr>
                            <w:rFonts w:hint="eastAsia" w:ascii="楷体" w:hAnsi="楷体" w:eastAsia="楷体"/>
                            <w:sz w:val="20"/>
                            <w:szCs w:val="20"/>
                          </w:rPr>
                          <w:t>经济开发区</w:t>
                        </w:r>
                      </w:p>
                    </w:txbxContent>
                  </v:textbox>
                </v:shape>
                <v:line id="_x0000_s1026" o:spid="_x0000_s1026" o:spt="20" style="position:absolute;left:6068;top:1484777;flip:y;height:14816;width:5003871;" filled="f" stroked="t" coordsize="21600,21600" o:gfxdata="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AJzyHTAAAABQEAAA8AAAAAAAAAAQAgAAAA&#10;IgAAAGRycy9kb3ducmV2LnhtbFBLAQIUABQAAAAIAIdO4kDJyxSp1wEAAGYDAAAOAAAAAAAAAAEA&#10;IAAAACIBAABkcnMvZTJvRG9jLnhtbFBLBQYAAAAABgAGAFkBAABrBQAAAAA=&#10;">
                  <v:fill on="f" focussize="0,0"/>
                  <v:stroke weight="2.25pt" color="#00B050 [3200]" joinstyle="round"/>
                  <v:imagedata o:title=""/>
                  <o:lock v:ext="edit" aspectratio="f"/>
                </v:line>
                <v:shape id="_x0000_s1026" o:spid="_x0000_s1026" o:spt="120" type="#_x0000_t120" style="position:absolute;left:66537;top:1466164;height:85061;width:74428;v-text-anchor:middle;" fillcolor="#FFFF00" filled="t" stroked="t" coordsize="21600,21600" o:gfxdata="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i6yH50AAAAAUBAAAPAAAAAAAAAAEAIAAAACIAAABkcnMvZG93bnJldi54bWxQSwEC&#10;FAAUAAAACACHTuJAbvayWW4CAACzBAAADgAAAAAAAAABACAAAAAfAQAAZHJzL2Uyb0RvYy54bWxQ&#10;SwUGAAAAAAYABgBZAQAA/wUAAAAA&#10;">
                  <v:fill on="t" focussize="0,0"/>
                  <v:stroke weight="2pt" color="#FF0000 [3204]" joinstyle="round"/>
                  <v:imagedata o:title=""/>
                  <o:lock v:ext="edit" aspectratio="f"/>
                </v:shape>
                <v:shape id="_x0000_s1026" o:spid="_x0000_s1026" o:spt="75" type="#_x0000_t75" style="position:absolute;left:1023467;top:1434267;height:109738;width:97544;" filled="f" o:preferrelative="t" stroked="f" coordsize="21600,21600" o:gfxdata="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">
                  <v:fill on="f" focussize="0,0"/>
                  <v:stroke on="f"/>
                  <v:imagedata r:id="rId15" o:title=""/>
                  <o:lock v:ext="edit" aspectratio="t"/>
                </v:shape>
                <v:shape id="_x0000_s1026" o:spid="_x0000_s1026" o:spt="75" type="#_x0000_t75" style="position:absolute;left:3307232;top:1426293;height:117712;width:97155;" filled="f" o:preferrelative="t" stroked="f" coordsize="21600,21600" o:gfxdata="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">
                  <v:fill on="f" focussize="0,0"/>
                  <v:stroke on="f"/>
                  <v:imagedata r:id="rId15" o:title=""/>
                  <o:lock v:ext="edit" aspectratio="f"/>
                </v:shape>
                <v:line id="_x0000_s1026" o:spid="_x0000_s1026" o:spt="20" style="position:absolute;left:66537;top:912518;flip:y;height:596177;width:0;" filled="f" stroked="t" coordsize="21600,21600" o:gfxdata="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5J0CtQAAAAFAQAADwAAAAAAAAABACAAAAAiAAAAZHJzL2Rvd25yZXYueG1sUEsBAhQA&#10;FAAAAAgAh07iQBFQt6n2AQAArAMAAA4AAAAAAAAAAQAgAAAAIwEAAGRycy9lMm9Eb2MueG1sUEsF&#10;BgAAAAAGAAYAWQEAAIsFAAAAAA==&#10;">
                  <v:fill on="f" focussize="0,0"/>
                  <v:stroke color="#17375E [2415]" joinstyle="round"/>
                  <v:imagedata o:title=""/>
                  <o:lock v:ext="edit" aspectratio="f"/>
                </v:line>
                <v:line id="_x0000_s1026" o:spid="_x0000_s1026" o:spt="20" style="position:absolute;left:66537;top:912518;height:0;width:467833;" filled="f" stroked="t" coordsize="21600,21600" o:gfxdata="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SevN7VAAAABQEAAA8AAAAA&#10;AAAAAQAgAAAAIgAAAGRycy9kb3ducmV2LnhtbFBLAQIUABQAAAAIAIdO4kAQ4Yym3gEAAHoDAAAO&#10;AAAAAAAAAAEAIAAAACQBAABkcnMvZTJvRG9jLnhtbFBLBQYAAAAABgAGAFkBAAB0BQAAAAA=&#10;">
                  <v:fill on="f" focussize="0,0"/>
                  <v:stroke color="#17375E [2415]" joinstyle="round"/>
                  <v:imagedata o:title=""/>
                  <o:lock v:ext="edit" aspectratio="f"/>
                </v:line>
                <v:shape id="_x0000_s1026" o:spid="_x0000_s1026" o:spt="120" type="#_x0000_t120" style="position:absolute;left:2103850;top:1426294;height:110946;width:99831;v-text-anchor:middle;" fillcolor="#FF0000" filled="t" stroked="t" coordsize="21600,21600" o:gfxdata="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M5dAzfWAAAABQEAAA8AAAAAAAAAAQAg&#10;AAAAIgAAAGRycy9kb3ducmV2LnhtbFBLAQIUABQAAAAIAIdO4kCvp8b7ggIAANgEAAAOAAAAAAAA&#10;AAEAIAAAACUBAABkcnMvZTJvRG9jLnhtbFBLBQYAAAAABgAGAFkBAAAZBgAAAAA=&#10;">
                  <v:fill on="t" focussize="0,0"/>
                  <v:stroke weight="2pt" color="#376092 [2404]" joinstyle="round"/>
                  <v:imagedata o:title=""/>
                  <o:lock v:ext="edit" aspectratio="f"/>
                </v:shape>
                <v:shape id="文本框 99" o:spid="_x0000_s1026" o:spt="202" type="#_x0000_t202" style="position:absolute;left:534339;top:648067;height:423632;width:1254642;" fillcolor="#FFCCFF" filled="t" stroked="t" coordsize="21600,21600" o:gfxdata="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NQVoNQAAAAFAQAADwAA&#10;AAAAAAABACAAAAAiAAAAZHJzL2Rvd25yZXYueG1sUEsBAhQAFAAAAAgAh07iQP7yeOJTAgAAdwQA&#10;AA4AAAAAAAAAAQAgAAAAIwEAAGRycy9lMm9Eb2MueG1sUEsFBgAAAAAGAAYAWQEAAOgFAAAAAA==&#10;">
                  <v:fill on="t" focussize="0,0"/>
                  <v:stroke weight="0.5pt" color="#17375E [2415]" joinstyle="round"/>
                  <v:imagedata o:title=""/>
                  <o:lock v:ext="edit" aspectratio="f"/>
                  <v:textbox>
                    <w:txbxContent>
                      <w:p>
                        <w:pPr>
                          <w:pStyle w:val="9"/>
                          <w:spacing w:before="0" w:beforeAutospacing="0" w:after="0" w:afterAutospacing="0" w:line="240" w:lineRule="exact"/>
                          <w:jc w:val="center"/>
                          <w:rPr>
                            <w:sz w:val="18"/>
                            <w:szCs w:val="18"/>
                          </w:rPr>
                        </w:pPr>
                        <w:r>
                          <w:rPr>
                            <w:rFonts w:hint="eastAsia" w:cs="Times New Roman"/>
                            <w:sz w:val="18"/>
                            <w:szCs w:val="18"/>
                          </w:rPr>
                          <w:t>1992.12-1997.11</w:t>
                        </w:r>
                      </w:p>
                      <w:p>
                        <w:pPr>
                          <w:pStyle w:val="9"/>
                          <w:spacing w:before="0" w:beforeAutospacing="0" w:after="0" w:afterAutospacing="0" w:line="240" w:lineRule="exact"/>
                          <w:jc w:val="center"/>
                          <w:rPr>
                            <w:sz w:val="18"/>
                            <w:szCs w:val="18"/>
                          </w:rPr>
                        </w:pPr>
                        <w:r>
                          <w:rPr>
                            <w:rFonts w:hAnsi="Times New Roman" w:cs="Times New Roman"/>
                            <w:sz w:val="18"/>
                            <w:szCs w:val="18"/>
                          </w:rPr>
                          <w:t>长沙</w:t>
                        </w:r>
                        <w:r>
                          <w:rPr>
                            <w:rFonts w:hint="eastAsia" w:hAnsi="Times New Roman" w:cs="Times New Roman"/>
                            <w:sz w:val="18"/>
                            <w:szCs w:val="18"/>
                          </w:rPr>
                          <w:t>市直管</w:t>
                        </w:r>
                      </w:p>
                    </w:txbxContent>
                  </v:textbox>
                </v:shape>
                <v:line id="_x0000_s1026" o:spid="_x0000_s1026" o:spt="20" style="position:absolute;left:1789012;top:912518;height:0;width:329458;" filled="f" stroked="t" coordsize="21600,21600" o:gfxdata="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knrze1QAAAAUBAAAPAAAA&#10;AAAAAAEAIAAAACIAAABkcnMvZG93bnJldi54bWxQSwECFAAUAAAACACHTuJAQr6re98BAAB8AwAA&#10;DgAAAAAAAAABACAAAAAkAQAAZHJzL2Uyb0RvYy54bWxQSwUGAAAAAAYABgBZAQAAdQUAAAAA&#10;">
                  <v:fill on="f" focussize="0,0"/>
                  <v:stroke color="#17375E [2415]" joinstyle="round"/>
                  <v:imagedata o:title=""/>
                  <o:lock v:ext="edit" aspectratio="f"/>
                </v:line>
                <v:line id="_x0000_s1026" o:spid="_x0000_s1026" o:spt="20" style="position:absolute;left:2118470;top:391523;height:1051019;width:0;" filled="f" stroked="t" coordsize="21600,21600" o:gfxdata="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knrze1QAAAAUBAAAPAAAAAAAAAAEAIAAAACIAAABkcnMvZG93bnJldi54bWxQSwECFAAUAAAA&#10;CACHTuJAq0Ey2/EBAACmAwAADgAAAAAAAAABACAAAAAkAQAAZHJzL2Uyb0RvYy54bWxQSwUGAAAA&#10;AAYABgBZAQAAhwUAAAAA&#10;">
                  <v:fill on="f" focussize="0,0"/>
                  <v:stroke color="#17375E [2415]" joinstyle="round"/>
                  <v:imagedata o:title=""/>
                  <o:lock v:ext="edit" aspectratio="f"/>
                </v:line>
                <v:shape id="_x0000_s1026" o:spid="_x0000_s1026" o:spt="120" type="#_x0000_t120" style="position:absolute;left:2650250;top:1410566;flip:y;height:128201;width:109514;v-text-anchor:middle;" fillcolor="#FF0000" filled="t" stroked="t" coordsize="21600,21600" o:gfxdata="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wCetT1QAAAAUBAAAPAAAAAAAAAAEAIAAAACIA&#10;AABkcnMvZG93bnJldi54bWxQSwECFAAUAAAACACHTuJAu1EnuX4CAADBBAAADgAAAAAAAAABACAA&#10;AAAkAQAAZHJzL2Uyb0RvYy54bWxQSwUGAAAAAAYABgBZAQAAFAYAAAAA&#10;">
                  <v:fill on="t" focussize="0,0"/>
                  <v:stroke weight="2pt" color="#376092 [2404]" joinstyle="round"/>
                  <v:imagedata o:title=""/>
                  <o:lock v:ext="edit" aspectratio="f"/>
                </v:shape>
                <v:line id="_x0000_s1026" o:spid="_x0000_s1026" o:spt="20" style="position:absolute;left:2688215;top:391523;flip:x;height:1022233;width:4564;" filled="f" stroked="t" coordsize="21600,21600" o:gfxdata="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LknQK1AAAAAUBAAAPAAAAAAAAAAEAIAAAACIAAABkcnMvZG93bnJldi54bWxQSwECFAAUAAAA&#10;CACHTuJAM3gG7PIBAACYAwAADgAAAAAAAAABACAAAAAjAQAAZHJzL2Uyb0RvYy54bWxQSwUGAAAA&#10;AAYABgBZAQAAhwUAAAAA&#10;">
                  <v:fill on="f" focussize="0,0"/>
                  <v:stroke color="#17375E [2404]" joinstyle="round"/>
                  <v:imagedata o:title=""/>
                  <o:lock v:ext="edit" aspectratio="f"/>
                </v:line>
                <v:line id="_x0000_s1026" o:spid="_x0000_s1026" o:spt="20" style="position:absolute;left:2097623;top:391523;height:0;width:595156;" filled="f" stroked="t" coordsize="21600,21600" o:gfxdata="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fcxWvV&#10;AAAABQEAAA8AAAAAAAAAAQAgAAAAIgAAAGRycy9kb3ducmV2LnhtbFBLAQIUABQAAAAIAIdO4kDD&#10;8twC6gEAAJMDAAAOAAAAAAAAAAEAIAAAACQBAABkcnMvZTJvRG9jLnhtbFBLBQYAAAAABgAGAFkB&#10;AACABQAAAAA=&#10;">
                  <v:fill on="f" focussize="0,0"/>
                  <v:stroke color="#4A7EBB [3204]" joinstyle="round"/>
                  <v:imagedata o:title=""/>
                  <o:lock v:ext="edit" aspectratio="f"/>
                </v:line>
                <v:shape id="文本框 99" o:spid="_x0000_s1026" o:spt="202" type="#_x0000_t202" style="position:absolute;left:1789012;top:25;height:391498;width:1207813;" fillcolor="#FFCCFF" filled="t" stroked="t" coordsize="21600,21600" o:gfxdata="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TUFaDUAAAABQEAAA8AAAAAAAAA&#10;AQAgAAAAIgAAAGRycy9kb3ducmV2LnhtbFBLAQIUABQAAAAIAIdO4kCzBGoGTgIAAHQEAAAOAAAA&#10;AAAAAAEAIAAAACMBAABkcnMvZTJvRG9jLnhtbFBLBQYAAAAABgAGAFkBAADjBQAAAAA=&#10;">
                  <v:fill on="t" focussize="0,0"/>
                  <v:stroke weight="0.5pt" color="#17375E [2404]" joinstyle="round"/>
                  <v:imagedata o:title=""/>
                  <o:lock v:ext="edit" aspectratio="f"/>
                  <v:textbox>
                    <w:txbxContent>
                      <w:p>
                        <w:pPr>
                          <w:pStyle w:val="9"/>
                          <w:spacing w:before="0" w:beforeAutospacing="0" w:after="0" w:afterAutospacing="0" w:line="240" w:lineRule="exact"/>
                          <w:jc w:val="center"/>
                          <w:rPr>
                            <w:sz w:val="18"/>
                            <w:szCs w:val="18"/>
                          </w:rPr>
                        </w:pPr>
                        <w:r>
                          <w:rPr>
                            <w:rFonts w:hint="eastAsia" w:cs="Times New Roman"/>
                            <w:sz w:val="18"/>
                            <w:szCs w:val="18"/>
                          </w:rPr>
                          <w:t>1997.11-2001.10</w:t>
                        </w:r>
                      </w:p>
                      <w:p>
                        <w:pPr>
                          <w:pStyle w:val="9"/>
                          <w:spacing w:before="0" w:beforeAutospacing="0" w:after="0" w:afterAutospacing="0" w:line="240" w:lineRule="exact"/>
                          <w:jc w:val="center"/>
                          <w:rPr>
                            <w:sz w:val="18"/>
                            <w:szCs w:val="18"/>
                          </w:rPr>
                        </w:pPr>
                        <w:r>
                          <w:rPr>
                            <w:rFonts w:hAnsi="Times New Roman" w:cs="Times New Roman"/>
                            <w:sz w:val="18"/>
                            <w:szCs w:val="18"/>
                          </w:rPr>
                          <w:t>长沙市</w:t>
                        </w:r>
                        <w:r>
                          <w:rPr>
                            <w:rFonts w:hint="eastAsia" w:hAnsi="Times New Roman" w:cs="Times New Roman"/>
                            <w:sz w:val="18"/>
                            <w:szCs w:val="18"/>
                          </w:rPr>
                          <w:t>开福区管理</w:t>
                        </w:r>
                      </w:p>
                    </w:txbxContent>
                  </v:textbox>
                </v:shape>
                <v:line id="_x0000_s1026" o:spid="_x0000_s1026" o:spt="20" style="position:absolute;left:2688215;top:648299;height:0;width:308610;" filled="f" stroked="t" coordsize="21600,21600" o:gfxdata="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SevN7VAAAA&#10;BQEAAA8AAAAAAAAAAQAgAAAAIgAAAGRycy9kb3ducmV2LnhtbFBLAQIUABQAAAAIAIdO4kA5NeIF&#10;5wEAAIoDAAAOAAAAAAAAAAEAIAAAACQBAABkcnMvZTJvRG9jLnhtbFBLBQYAAAAABgAGAFkBAAB9&#10;BQAAAAA=&#10;">
                  <v:fill on="f" focussize="0,0"/>
                  <v:stroke color="#17375E [2404]" joinstyle="round"/>
                  <v:imagedata o:title=""/>
                  <o:lock v:ext="edit" aspectratio="f"/>
                </v:line>
                <v:line id="_x0000_s1026" o:spid="_x0000_s1026" o:spt="20" style="position:absolute;left:3500100;top:816825;height:683144;width:0;" filled="f" stroked="t" coordsize="21600,21600" o:gfxdata="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J683tUAAAAFAQAA&#10;DwAAAAAAAAABACAAAAAiAAAAZHJzL2Rvd25yZXYueG1sUEsBAhQAFAAAAAgAh07iQDsDyCzjAQAA&#10;igMAAA4AAAAAAAAAAQAgAAAAJAEAAGRycy9lMm9Eb2MueG1sUEsFBgAAAAAGAAYAWQEAAHkFAAAA&#10;AA==&#10;">
                  <v:fill on="f" focussize="0,0"/>
                  <v:stroke color="#17375E [2404]" joinstyle="round"/>
                  <v:imagedata o:title=""/>
                  <o:lock v:ext="edit" aspectratio="f"/>
                </v:line>
                <v:shape id="文本框 99" o:spid="_x0000_s1026" o:spt="202" type="#_x0000_t202" style="position:absolute;left:2996676;top:391337;height:425226;width:1289577;" fillcolor="#FFCCFF" filled="t" stroked="t" coordsize="21600,21600" o:gfxdata="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U1BWg1AAAAAUBAAAP&#10;AAAAAAAAAAEAIAAAACIAAABkcnMvZG93bnJldi54bWxQSwECFAAUAAAACACHTuJA8MrHh1UCAAB4&#10;BAAADgAAAAAAAAABACAAAAAjAQAAZHJzL2Uyb0RvYy54bWxQSwUGAAAAAAYABgBZAQAA6gUAAAAA&#10;">
                  <v:fill on="t" focussize="0,0"/>
                  <v:stroke weight="0.5pt" color="#17375E [2404]" joinstyle="round"/>
                  <v:imagedata o:title=""/>
                  <o:lock v:ext="edit" aspectratio="f"/>
                  <v:textbox>
                    <w:txbxContent>
                      <w:p>
                        <w:pPr>
                          <w:pStyle w:val="9"/>
                          <w:spacing w:before="0" w:beforeAutospacing="0" w:after="0" w:afterAutospacing="0" w:line="240" w:lineRule="exact"/>
                          <w:jc w:val="center"/>
                          <w:rPr>
                            <w:sz w:val="18"/>
                            <w:szCs w:val="18"/>
                          </w:rPr>
                        </w:pPr>
                        <w:r>
                          <w:rPr>
                            <w:rFonts w:hint="eastAsia" w:cs="Times New Roman"/>
                            <w:sz w:val="18"/>
                            <w:szCs w:val="18"/>
                          </w:rPr>
                          <w:t>2001.10-2006.3</w:t>
                        </w:r>
                      </w:p>
                      <w:p>
                        <w:pPr>
                          <w:pStyle w:val="9"/>
                          <w:spacing w:before="0" w:beforeAutospacing="0" w:after="0" w:afterAutospacing="0" w:line="240" w:lineRule="exact"/>
                          <w:jc w:val="center"/>
                          <w:rPr>
                            <w:sz w:val="18"/>
                            <w:szCs w:val="18"/>
                          </w:rPr>
                        </w:pPr>
                        <w:r>
                          <w:rPr>
                            <w:rFonts w:hAnsi="Times New Roman" w:cs="Times New Roman"/>
                            <w:sz w:val="18"/>
                            <w:szCs w:val="18"/>
                          </w:rPr>
                          <w:t>长沙市</w:t>
                        </w:r>
                        <w:r>
                          <w:rPr>
                            <w:rFonts w:hint="eastAsia" w:hAnsi="Times New Roman" w:cs="Times New Roman"/>
                            <w:sz w:val="18"/>
                            <w:szCs w:val="18"/>
                          </w:rPr>
                          <w:t>环路公司管理</w:t>
                        </w:r>
                      </w:p>
                    </w:txbxContent>
                  </v:textbox>
                </v:shape>
                <v:shape id="_x0000_s1026" o:spid="_x0000_s1026" o:spt="33" type="#_x0000_t33" style="position:absolute;left:-22677;top:1638882;flip:x;height:63516;width:263744;rotation:5898240f;" filled="f" stroked="t" coordsize="21600,21600" o:gfxdata="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7nuDdcAAAAFAQAADwAAAAAAAAABACAAAAAiAAAA&#10;ZHJzL2Rvd25yZXYueG1sUEsBAhQAFAAAAAgAh07iQKC84q4IAgAAxAMAAA4AAAAAAAAAAQAgAAAA&#10;JgEAAGRycy9lMm9Eb2MueG1sUEsFBgAAAAAGAAYAWQEAAKAFAAAAAA==&#10;">
                  <v:fill on="f" focussize="0,0"/>
                  <v:stroke color="#00B050 [3204]" joinstyle="round"/>
                  <v:imagedata o:title=""/>
                  <o:lock v:ext="edit" aspectratio="f"/>
                </v:shape>
                <v:shape id="_x0000_s1026" o:spid="_x0000_s1026" o:spt="35" type="#_x0000_t35" style="position:absolute;left:1023466;top:1489136;flip:x y;height:403842;width:97544;rotation:11796480f;" filled="f" stroked="t" coordsize="21600,21600" o:gfxdata="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56h0wAA&#10;AAUBAAAPAAAAAAAAAAEAIAAAACIAAABkcnMvZG93bnJldi54bWxQSwECFAAUAAAACACHTuJAFFmb&#10;JiMCAAAGBAAADgAAAAAAAAABACAAAAAiAQAAZHJzL2Uyb0RvYy54bWxQSwUGAAAAAAYABgBZAQAA&#10;twUAAAAA&#10;" adj="10595,22504">
                  <v:fill on="f" focussize="0,0"/>
                  <v:stroke color="#00B050 [3204]" joinstyle="round"/>
                  <v:imagedata o:title=""/>
                  <o:lock v:ext="edit" aspectratio="f"/>
                </v:shape>
                <v:shape id="_x0000_s1026" o:spid="_x0000_s1026" o:spt="34" type="#_x0000_t34" style="position:absolute;left:3030520;top:1696076;height:80997;width:541646;rotation:5898240f;" filled="f" stroked="t" coordsize="21600,21600" o:gfxdata="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AnWZ9gAAAAFAQAADwAAAAAAAAABACAAAAAiAAAAZHJzL2Rvd25y&#10;ZXYueG1sUEsBAhQAFAAAAAgAh07iQLhnFUj+AQAApAMAAA4AAAAAAAAAAQAgAAAAJwEAAGRycy9l&#10;Mm9Eb2MueG1sUEsFBgAAAAAGAAYAWQEAAJcFAAAAAA==&#10;" adj="21394">
                  <v:fill on="f" focussize="0,0"/>
                  <v:stroke color="#00B050 [3204]" joinstyle="round"/>
                  <v:imagedata o:title=""/>
                  <o:lock v:ext="edit" aspectratio="f"/>
                </v:shape>
                <v:shape id="文本框 99" o:spid="_x0000_s1026" o:spt="202" type="#_x0000_t202" style="position:absolute;left:3882872;top:909520;height:391160;width:1207770;" fillcolor="#FFCCFF" filled="t" stroked="t" coordsize="21600,21600" o:gfxdata="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1NQVoNQAAAAFAQAADwAA&#10;AAAAAAABACAAAAAiAAAAZHJzL2Rvd25yZXYueG1sUEsBAhQAFAAAAAgAh07iQMvm6ItTAgAAeAQA&#10;AA4AAAAAAAAAAQAgAAAAIwEAAGRycy9lMm9Eb2MueG1sUEsFBgAAAAAGAAYAWQEAAOgFAAAAAA==&#10;">
                  <v:fill on="t" focussize="0,0"/>
                  <v:stroke weight="0.5pt" color="#17375E [2404]" joinstyle="round"/>
                  <v:imagedata o:title=""/>
                  <o:lock v:ext="edit" aspectratio="f"/>
                  <v:textbox>
                    <w:txbxContent>
                      <w:p>
                        <w:pPr>
                          <w:pStyle w:val="9"/>
                          <w:spacing w:before="0" w:beforeAutospacing="0" w:after="0" w:afterAutospacing="0" w:line="240" w:lineRule="exact"/>
                          <w:jc w:val="center"/>
                        </w:pPr>
                        <w:r>
                          <w:rPr>
                            <w:rFonts w:hint="eastAsia" w:cs="Times New Roman"/>
                            <w:sz w:val="18"/>
                            <w:szCs w:val="18"/>
                          </w:rPr>
                          <w:t>2006.3-至今</w:t>
                        </w:r>
                      </w:p>
                      <w:p>
                        <w:pPr>
                          <w:pStyle w:val="9"/>
                          <w:spacing w:before="0" w:beforeAutospacing="0" w:after="0" w:afterAutospacing="0" w:line="240" w:lineRule="exact"/>
                          <w:jc w:val="center"/>
                        </w:pPr>
                        <w:r>
                          <w:rPr>
                            <w:rFonts w:hAnsi="Times New Roman" w:cs="Times New Roman"/>
                            <w:sz w:val="18"/>
                            <w:szCs w:val="18"/>
                          </w:rPr>
                          <w:t>长沙市开福区管理</w:t>
                        </w:r>
                      </w:p>
                    </w:txbxContent>
                  </v:textbox>
                </v:shape>
                <v:line id="_x0000_s1026" o:spid="_x0000_s1026" o:spt="20" style="position:absolute;left:3500100;top:1072007;height:0;width:382772;" filled="f" stroked="t" coordsize="21600,21600" o:gfxdata="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J683tUAAAAFAQAA&#10;DwAAAAAAAAABACAAAAAiAAAAZHJzL2Rvd25yZXYueG1sUEsBAhQAFAAAAAgAh07iQIMN4fTjAQAA&#10;iwMAAA4AAAAAAAAAAQAgAAAAJAEAAGRycy9lMm9Eb2MueG1sUEsFBgAAAAAGAAYAWQEAAHkFAAAA&#10;AA==&#10;">
                  <v:fill on="f" focussize="0,0"/>
                  <v:stroke color="#17375E [2404]" joinstyle="round"/>
                  <v:imagedata o:title=""/>
                  <o:lock v:ext="edit" aspectratio="f"/>
                </v:line>
                <v:shape id="_x0000_s1026" o:spid="_x0000_s1026" o:spt="120" type="#_x0000_t120" style="position:absolute;left:3500100;top:1424765;height:112475;width:117712;v-text-anchor:middle;" fillcolor="#FF0000" filled="t" stroked="t" coordsize="21600,21600" o:gfxdata="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OXQM31gAAAAUBAAAPAAAAAAAAAAEAIAAAACIAAABkcnMv&#10;ZG93bnJldi54bWxQSwECFAAUAAAACACHTuJAQqIBK3cCAAC3BAAADgAAAAAAAAABACAAAAAlAQAA&#10;ZHJzL2Uyb0RvYy54bWxQSwUGAAAAAAYABgBZAQAADgYAAAAA&#10;">
                  <v:fill on="t" focussize="0,0"/>
                  <v:stroke weight="2pt" color="#376092 [2404]" joinstyle="round"/>
                  <v:imagedata o:title=""/>
                  <o:lock v:ext="edit" aspectratio="f"/>
                </v:shape>
                <w10:wrap type="none"/>
                <w10:anchorlock/>
              </v:group>
            </w:pict>
          </mc:Fallback>
        </mc:AlternateContent>
      </w:r>
    </w:p>
    <w:p>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图1 长沙金霞经济开发区管理体制沿革</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开发区成立于</w:t>
      </w:r>
      <w:r>
        <w:rPr>
          <w:rFonts w:hint="default" w:ascii="Times New Roman" w:hAnsi="Times New Roman" w:cs="Times New Roman"/>
          <w:color w:val="000000" w:themeColor="text1"/>
          <w:sz w:val="24"/>
          <w:szCs w:val="24"/>
          <w14:textFill>
            <w14:solidFill>
              <w14:schemeClr w14:val="tx1"/>
            </w14:solidFill>
          </w14:textFill>
        </w:rPr>
        <w:t>1992年12月，原名“长沙捞霞经济开发区”，1994年9月更名为</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长沙市经济开发区</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，2006年1月定名为</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长沙金霞经济开发区</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行政级别为正县级。成立以来，园区管理体制先后有过4次大的变动：1992年12月-1997年11月属长沙市直接管理；1997年11月-2001年10月属长沙市开福区管理；2001年10月-2006年3月属长沙市环路公司管理；2006年3月至今，重新调整为长沙市开福区管理，开发区党工委、管委会为开福区委、区政府派出机构。</w:t>
      </w:r>
    </w:p>
    <w:p>
      <w:pPr>
        <w:pStyle w:val="2"/>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3</w:t>
      </w:r>
      <w:r>
        <w:rPr>
          <w:rFonts w:ascii="Times New Roman" w:hAnsi="Times New Roman"/>
          <w:color w:val="000000" w:themeColor="text1"/>
          <w:sz w:val="28"/>
          <w:szCs w:val="28"/>
          <w14:textFill>
            <w14:solidFill>
              <w14:schemeClr w14:val="tx1"/>
            </w14:solidFill>
          </w14:textFill>
        </w:rPr>
        <w:t>．</w:t>
      </w:r>
      <w:r>
        <w:rPr>
          <w:rFonts w:hint="eastAsia" w:ascii="黑体" w:hAnsi="黑体" w:eastAsia="黑体"/>
          <w:color w:val="000000" w:themeColor="text1"/>
          <w:sz w:val="28"/>
          <w:szCs w:val="28"/>
          <w14:textFill>
            <w14:solidFill>
              <w14:schemeClr w14:val="tx1"/>
            </w14:solidFill>
          </w14:textFill>
        </w:rPr>
        <w:t>发展现状</w:t>
      </w:r>
    </w:p>
    <w:p>
      <w:pPr>
        <w:spacing w:line="360" w:lineRule="auto"/>
        <w:ind w:firstLine="480"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color w:val="000000" w:themeColor="text1"/>
          <w:sz w:val="24"/>
          <w:szCs w:val="24"/>
          <w:shd w:val="clear" w:color="auto" w:fill="FFFFFF"/>
          <w14:textFill>
            <w14:solidFill>
              <w14:schemeClr w14:val="tx1"/>
            </w14:solidFill>
          </w14:textFill>
        </w:rPr>
        <w:t>“十二五”期间，</w:t>
      </w:r>
      <w:r>
        <w:rPr>
          <w:rFonts w:hint="eastAsia" w:asciiTheme="minorEastAsia" w:hAnsiTheme="minorEastAsia"/>
          <w:color w:val="000000" w:themeColor="text1"/>
          <w:sz w:val="24"/>
          <w:szCs w:val="24"/>
          <w:shd w:val="clear" w:color="auto" w:fill="FFFFFF"/>
          <w14:textFill>
            <w14:solidFill>
              <w14:schemeClr w14:val="tx1"/>
            </w14:solidFill>
          </w14:textFill>
        </w:rPr>
        <w:t>长沙金霞经济开发区以</w:t>
      </w:r>
      <w:r>
        <w:rPr>
          <w:rFonts w:asciiTheme="minorEastAsia" w:hAnsiTheme="minorEastAsia"/>
          <w:color w:val="000000" w:themeColor="text1"/>
          <w:sz w:val="24"/>
          <w:szCs w:val="24"/>
          <w:shd w:val="clear" w:color="auto" w:fill="FFFFFF"/>
          <w14:textFill>
            <w14:solidFill>
              <w14:schemeClr w14:val="tx1"/>
            </w14:solidFill>
          </w14:textFill>
        </w:rPr>
        <w:t>“产业兴园”为工作主线，以“壮大现代物流、提速都市工业、培育商贸市场、建设两型园区”为工作路径，全面加速了国家级现代物流园区建设，全力推动了园区致强崛起、后发赶超。园区累计完成固定资产投</w:t>
      </w:r>
      <w:r>
        <w:rPr>
          <w:rFonts w:hint="default" w:ascii="Times New Roman" w:hAnsi="Times New Roman" w:cs="Times New Roman"/>
          <w:color w:val="000000" w:themeColor="text1"/>
          <w:sz w:val="24"/>
          <w:szCs w:val="24"/>
          <w:shd w:val="clear" w:color="auto" w:fill="FFFFFF"/>
          <w14:textFill>
            <w14:solidFill>
              <w14:schemeClr w14:val="tx1"/>
            </w14:solidFill>
          </w14:textFill>
        </w:rPr>
        <w:t>资424</w:t>
      </w:r>
      <w:r>
        <w:rPr>
          <w:rFonts w:asciiTheme="minorEastAsia" w:hAnsiTheme="minorEastAsia"/>
          <w:color w:val="000000" w:themeColor="text1"/>
          <w:sz w:val="24"/>
          <w:szCs w:val="24"/>
          <w:shd w:val="clear" w:color="auto" w:fill="FFFFFF"/>
          <w14:textFill>
            <w14:solidFill>
              <w14:schemeClr w14:val="tx1"/>
            </w14:solidFill>
          </w14:textFill>
        </w:rPr>
        <w:t>亿元，年均增长</w:t>
      </w:r>
      <w:r>
        <w:rPr>
          <w:rFonts w:hint="default" w:ascii="Times New Roman" w:hAnsi="Times New Roman" w:cs="Times New Roman"/>
          <w:color w:val="000000" w:themeColor="text1"/>
          <w:sz w:val="24"/>
          <w:szCs w:val="24"/>
          <w:shd w:val="clear" w:color="auto" w:fill="FFFFFF"/>
          <w14:textFill>
            <w14:solidFill>
              <w14:schemeClr w14:val="tx1"/>
            </w14:solidFill>
          </w14:textFill>
        </w:rPr>
        <w:t>24%</w:t>
      </w:r>
      <w:r>
        <w:rPr>
          <w:rFonts w:asciiTheme="minorEastAsia" w:hAnsiTheme="minorEastAsia"/>
          <w:color w:val="000000" w:themeColor="text1"/>
          <w:sz w:val="24"/>
          <w:szCs w:val="24"/>
          <w:shd w:val="clear" w:color="auto" w:fill="FFFFFF"/>
          <w14:textFill>
            <w14:solidFill>
              <w14:schemeClr w14:val="tx1"/>
            </w14:solidFill>
          </w14:textFill>
        </w:rPr>
        <w:t>；完成工业总产值</w:t>
      </w:r>
      <w:r>
        <w:rPr>
          <w:rFonts w:hint="default" w:ascii="Times New Roman" w:hAnsi="Times New Roman" w:cs="Times New Roman"/>
          <w:color w:val="000000" w:themeColor="text1"/>
          <w:sz w:val="24"/>
          <w:szCs w:val="24"/>
          <w:shd w:val="clear" w:color="auto" w:fill="FFFFFF"/>
          <w14:textFill>
            <w14:solidFill>
              <w14:schemeClr w14:val="tx1"/>
            </w14:solidFill>
          </w14:textFill>
        </w:rPr>
        <w:t>1574</w:t>
      </w:r>
      <w:r>
        <w:rPr>
          <w:rFonts w:asciiTheme="minorEastAsia" w:hAnsiTheme="minorEastAsia"/>
          <w:color w:val="000000" w:themeColor="text1"/>
          <w:sz w:val="24"/>
          <w:szCs w:val="24"/>
          <w:shd w:val="clear" w:color="auto" w:fill="FFFFFF"/>
          <w14:textFill>
            <w14:solidFill>
              <w14:schemeClr w14:val="tx1"/>
            </w14:solidFill>
          </w14:textFill>
        </w:rPr>
        <w:t>亿元，年均增长</w:t>
      </w:r>
      <w:r>
        <w:rPr>
          <w:rFonts w:hint="default" w:ascii="Times New Roman" w:hAnsi="Times New Roman" w:cs="Times New Roman"/>
          <w:color w:val="000000" w:themeColor="text1"/>
          <w:sz w:val="24"/>
          <w:szCs w:val="24"/>
          <w:shd w:val="clear" w:color="auto" w:fill="FFFFFF"/>
          <w14:textFill>
            <w14:solidFill>
              <w14:schemeClr w14:val="tx1"/>
            </w14:solidFill>
          </w14:textFill>
        </w:rPr>
        <w:t>34%</w:t>
      </w:r>
      <w:r>
        <w:rPr>
          <w:rFonts w:asciiTheme="minorEastAsia" w:hAnsiTheme="minorEastAsia"/>
          <w:color w:val="000000" w:themeColor="text1"/>
          <w:sz w:val="24"/>
          <w:szCs w:val="24"/>
          <w:shd w:val="clear" w:color="auto" w:fill="FFFFFF"/>
          <w14:textFill>
            <w14:solidFill>
              <w14:schemeClr w14:val="tx1"/>
            </w14:solidFill>
          </w14:textFill>
        </w:rPr>
        <w:t>；完成规模工业增加值</w:t>
      </w:r>
      <w:r>
        <w:rPr>
          <w:rFonts w:hint="default" w:ascii="Times New Roman" w:hAnsi="Times New Roman" w:cs="Times New Roman"/>
          <w:color w:val="000000" w:themeColor="text1"/>
          <w:sz w:val="24"/>
          <w:szCs w:val="24"/>
          <w:shd w:val="clear" w:color="auto" w:fill="FFFFFF"/>
          <w14:textFill>
            <w14:solidFill>
              <w14:schemeClr w14:val="tx1"/>
            </w14:solidFill>
          </w14:textFill>
        </w:rPr>
        <w:t>319亿</w:t>
      </w:r>
      <w:r>
        <w:rPr>
          <w:rFonts w:asciiTheme="minorEastAsia" w:hAnsiTheme="minorEastAsia"/>
          <w:color w:val="000000" w:themeColor="text1"/>
          <w:sz w:val="24"/>
          <w:szCs w:val="24"/>
          <w:shd w:val="clear" w:color="auto" w:fill="FFFFFF"/>
          <w14:textFill>
            <w14:solidFill>
              <w14:schemeClr w14:val="tx1"/>
            </w14:solidFill>
          </w14:textFill>
        </w:rPr>
        <w:t>元，年均增长</w:t>
      </w:r>
      <w:r>
        <w:rPr>
          <w:rFonts w:hint="default" w:ascii="Times New Roman" w:hAnsi="Times New Roman" w:cs="Times New Roman"/>
          <w:color w:val="000000" w:themeColor="text1"/>
          <w:sz w:val="24"/>
          <w:szCs w:val="24"/>
          <w:shd w:val="clear" w:color="auto" w:fill="FFFFFF"/>
          <w14:textFill>
            <w14:solidFill>
              <w14:schemeClr w14:val="tx1"/>
            </w14:solidFill>
          </w14:textFill>
        </w:rPr>
        <w:t>36%</w:t>
      </w:r>
      <w:r>
        <w:rPr>
          <w:rFonts w:asciiTheme="minorEastAsia" w:hAnsiTheme="minorEastAsia"/>
          <w:color w:val="000000" w:themeColor="text1"/>
          <w:sz w:val="24"/>
          <w:szCs w:val="24"/>
          <w:shd w:val="clear" w:color="auto" w:fill="FFFFFF"/>
          <w14:textFill>
            <w14:solidFill>
              <w14:schemeClr w14:val="tx1"/>
            </w14:solidFill>
          </w14:textFill>
        </w:rPr>
        <w:t>；完成物流主营业务收入</w:t>
      </w:r>
      <w:r>
        <w:rPr>
          <w:rFonts w:hint="default" w:ascii="Times New Roman" w:hAnsi="Times New Roman" w:cs="Times New Roman"/>
          <w:color w:val="000000" w:themeColor="text1"/>
          <w:sz w:val="24"/>
          <w:szCs w:val="24"/>
          <w:shd w:val="clear" w:color="auto" w:fill="FFFFFF"/>
          <w14:textFill>
            <w14:solidFill>
              <w14:schemeClr w14:val="tx1"/>
            </w14:solidFill>
          </w14:textFill>
        </w:rPr>
        <w:t>1223</w:t>
      </w:r>
      <w:r>
        <w:rPr>
          <w:rFonts w:asciiTheme="minorEastAsia" w:hAnsiTheme="minorEastAsia"/>
          <w:color w:val="000000" w:themeColor="text1"/>
          <w:sz w:val="24"/>
          <w:szCs w:val="24"/>
          <w:shd w:val="clear" w:color="auto" w:fill="FFFFFF"/>
          <w14:textFill>
            <w14:solidFill>
              <w14:schemeClr w14:val="tx1"/>
            </w14:solidFill>
          </w14:textFill>
        </w:rPr>
        <w:t>亿元，年均增长</w:t>
      </w:r>
      <w:r>
        <w:rPr>
          <w:rFonts w:hint="default" w:ascii="Times New Roman" w:hAnsi="Times New Roman" w:cs="Times New Roman"/>
          <w:color w:val="000000" w:themeColor="text1"/>
          <w:sz w:val="24"/>
          <w:szCs w:val="24"/>
          <w:shd w:val="clear" w:color="auto" w:fill="FFFFFF"/>
          <w14:textFill>
            <w14:solidFill>
              <w14:schemeClr w14:val="tx1"/>
            </w14:solidFill>
          </w14:textFill>
        </w:rPr>
        <w:t>40%，工业和物流指标实现五年翻两番。2015年，园区财政收入和税收分别突破20亿元和10亿元大关。2014年、2015年连</w:t>
      </w:r>
      <w:r>
        <w:rPr>
          <w:rFonts w:asciiTheme="minorEastAsia" w:hAnsiTheme="minorEastAsia"/>
          <w:color w:val="000000" w:themeColor="text1"/>
          <w:sz w:val="24"/>
          <w:szCs w:val="24"/>
          <w:shd w:val="clear" w:color="auto" w:fill="FFFFFF"/>
          <w14:textFill>
            <w14:solidFill>
              <w14:schemeClr w14:val="tx1"/>
            </w14:solidFill>
          </w14:textFill>
        </w:rPr>
        <w:t>续两年在全市省级园区领导班子绩效考核中排名第一，其中固定资产投资、工业总产值、规模工业增加值等指标总量居长沙市省级园区前列，财税收入、外资引进、企业入园的数量和质量等多项指标列长沙市省级园区第一位，呈现蓬勃向上、跨越发展的强劲态势</w:t>
      </w:r>
      <w:r>
        <w:rPr>
          <w:rFonts w:hint="default" w:ascii="Times New Roman" w:hAnsi="Times New Roman" w:cs="Times New Roman"/>
          <w:color w:val="000000" w:themeColor="text1"/>
          <w:sz w:val="24"/>
          <w:szCs w:val="24"/>
          <w:shd w:val="clear" w:color="auto" w:fill="FFFFFF"/>
          <w14:textFill>
            <w14:solidFill>
              <w14:schemeClr w14:val="tx1"/>
            </w14:solidFill>
          </w14:textFill>
        </w:rPr>
        <w:t>。</w:t>
      </w:r>
      <w:r>
        <w:rPr>
          <w:rFonts w:hint="eastAsia" w:ascii="Times New Roman" w:hAnsi="Times New Roman" w:cs="Times New Roman"/>
          <w:color w:val="000000" w:themeColor="text1"/>
          <w:sz w:val="24"/>
          <w:szCs w:val="24"/>
          <w:shd w:val="clear" w:color="auto" w:fill="FFFFFF"/>
          <w14:textFill>
            <w14:solidFill>
              <w14:schemeClr w14:val="tx1"/>
            </w14:solidFill>
          </w14:textFill>
        </w:rPr>
        <w:t>2016年1-9月，园区完成工业总产值309.64亿元、现代服务业主营业务收入235.1亿元、进出口总额16.33亿美元。</w:t>
      </w:r>
    </w:p>
    <w:p>
      <w:pPr>
        <w:pStyle w:val="2"/>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4</w:t>
      </w:r>
      <w:r>
        <w:rPr>
          <w:rFonts w:ascii="Times New Roman" w:hAnsi="Times New Roman"/>
          <w:color w:val="000000" w:themeColor="text1"/>
          <w:sz w:val="28"/>
          <w:szCs w:val="28"/>
          <w14:textFill>
            <w14:solidFill>
              <w14:schemeClr w14:val="tx1"/>
            </w14:solidFill>
          </w14:textFill>
        </w:rPr>
        <w:t>．</w:t>
      </w:r>
      <w:r>
        <w:rPr>
          <w:rFonts w:hint="eastAsia" w:ascii="黑体" w:hAnsi="黑体" w:eastAsia="黑体"/>
          <w:color w:val="000000" w:themeColor="text1"/>
          <w:sz w:val="28"/>
          <w:szCs w:val="28"/>
          <w14:textFill>
            <w14:solidFill>
              <w14:schemeClr w14:val="tx1"/>
            </w14:solidFill>
          </w14:textFill>
        </w:rPr>
        <w:t>发展优势</w:t>
      </w:r>
    </w:p>
    <w:p>
      <w:pPr>
        <w:spacing w:line="360" w:lineRule="auto"/>
        <w:ind w:firstLine="482" w:firstLineChars="200"/>
        <w:rPr>
          <w:rFonts w:ascii="楷体" w:hAnsi="楷体" w:eastAsia="楷体"/>
          <w:color w:val="000000" w:themeColor="text1"/>
          <w:sz w:val="24"/>
          <w:szCs w:val="24"/>
          <w14:textFill>
            <w14:solidFill>
              <w14:schemeClr w14:val="tx1"/>
            </w14:solidFill>
          </w14:textFill>
        </w:rPr>
      </w:pPr>
      <w:r>
        <w:rPr>
          <w:rFonts w:hint="eastAsia" w:asciiTheme="minorEastAsia" w:hAnsiTheme="minorEastAsia"/>
          <w:b/>
          <w:color w:val="000000" w:themeColor="text1"/>
          <w:sz w:val="24"/>
          <w:szCs w:val="24"/>
          <w14:textFill>
            <w14:solidFill>
              <w14:schemeClr w14:val="tx1"/>
            </w14:solidFill>
          </w14:textFill>
        </w:rPr>
        <w:t>——得天独厚的区位优势。</w:t>
      </w:r>
      <w:r>
        <w:rPr>
          <w:rFonts w:hint="eastAsia" w:asciiTheme="minorEastAsia" w:hAnsiTheme="minorEastAsia"/>
          <w:color w:val="000000" w:themeColor="text1"/>
          <w:sz w:val="24"/>
          <w:szCs w:val="24"/>
          <w14:textFill>
            <w14:solidFill>
              <w14:schemeClr w14:val="tx1"/>
            </w14:solidFill>
          </w14:textFill>
        </w:rPr>
        <w:t>园区地处华东经济圈与华南经济圈的结合部，京广与长江两大经济带的交汇处，是沟通长三角、珠三角、京津冀、成渝四大经济圈的枢纽节点。西靠有待开发的“大西部”，北依“武汉城市圈”，南通“泛珠三角”，拥有四通八达、得天独厚的区位优势</w:t>
      </w:r>
      <w:r>
        <w:rPr>
          <w:rFonts w:hint="eastAsia" w:ascii="楷体" w:hAnsi="楷体" w:eastAsia="楷体"/>
          <w:color w:val="000000" w:themeColor="text1"/>
          <w:sz w:val="24"/>
          <w:szCs w:val="24"/>
          <w14:textFill>
            <w14:solidFill>
              <w14:schemeClr w14:val="tx1"/>
            </w14:solidFill>
          </w14:textFill>
        </w:rPr>
        <w:t>（见附录1、附录2）</w:t>
      </w:r>
      <w:r>
        <w:rPr>
          <w:rFonts w:hint="eastAsia" w:asciiTheme="minorEastAsia" w:hAnsiTheme="minorEastAsia"/>
          <w:color w:val="000000" w:themeColor="text1"/>
          <w:sz w:val="24"/>
          <w:szCs w:val="24"/>
          <w14:textFill>
            <w14:solidFill>
              <w14:schemeClr w14:val="tx1"/>
            </w14:solidFill>
          </w14:textFill>
        </w:rPr>
        <w:t>。</w:t>
      </w:r>
      <w:bookmarkStart w:id="0" w:name="_Toc434218395"/>
    </w:p>
    <w:p>
      <w:pPr>
        <w:spacing w:line="360" w:lineRule="auto"/>
        <w:ind w:firstLine="482"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b/>
          <w:bCs/>
          <w:color w:val="000000" w:themeColor="text1"/>
          <w:sz w:val="24"/>
          <w:szCs w:val="24"/>
          <w14:textFill>
            <w14:solidFill>
              <w14:schemeClr w14:val="tx1"/>
            </w14:solidFill>
          </w14:textFill>
        </w:rPr>
        <w:t>——多元辐射</w:t>
      </w:r>
      <w:r>
        <w:rPr>
          <w:rFonts w:asciiTheme="minorEastAsia" w:hAnsiTheme="minorEastAsia"/>
          <w:b/>
          <w:bCs/>
          <w:color w:val="000000" w:themeColor="text1"/>
          <w:sz w:val="24"/>
          <w:szCs w:val="24"/>
          <w14:textFill>
            <w14:solidFill>
              <w14:schemeClr w14:val="tx1"/>
            </w14:solidFill>
          </w14:textFill>
        </w:rPr>
        <w:t>的</w:t>
      </w:r>
      <w:r>
        <w:rPr>
          <w:rFonts w:hint="eastAsia" w:asciiTheme="minorEastAsia" w:hAnsiTheme="minorEastAsia"/>
          <w:b/>
          <w:bCs/>
          <w:color w:val="000000" w:themeColor="text1"/>
          <w:sz w:val="24"/>
          <w:szCs w:val="24"/>
          <w14:textFill>
            <w14:solidFill>
              <w14:schemeClr w14:val="tx1"/>
            </w14:solidFill>
          </w14:textFill>
        </w:rPr>
        <w:t>交通优势</w:t>
      </w:r>
      <w:bookmarkEnd w:id="0"/>
      <w:r>
        <w:rPr>
          <w:rFonts w:hint="eastAsia" w:asciiTheme="minorEastAsia" w:hAnsiTheme="minorEastAsia"/>
          <w:b/>
          <w:bCs/>
          <w:color w:val="000000" w:themeColor="text1"/>
          <w:sz w:val="24"/>
          <w:szCs w:val="24"/>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园区是湖南省唯一集水、陆、空、铁、管等立体优势于一体的现代物流园区。京港澳高速、长张高速、长潭西高速等近十条高速公路及环线与区内三纵十横的城市道路网互联互通；</w:t>
      </w:r>
      <w:r>
        <w:rPr>
          <w:rFonts w:hint="eastAsia" w:ascii="宋体" w:hAnsi="宋体" w:eastAsia="宋体"/>
          <w:color w:val="000000" w:themeColor="text1"/>
          <w:sz w:val="24"/>
          <w:szCs w:val="24"/>
          <w14:textFill>
            <w14:solidFill>
              <w14:schemeClr w14:val="tx1"/>
            </w14:solidFill>
          </w14:textFill>
        </w:rPr>
        <w:t>园区内京广铁路、石长铁路、</w:t>
      </w:r>
      <w:r>
        <w:rPr>
          <w:rFonts w:hint="eastAsia" w:ascii="Times New Roman" w:hAnsi="Times New Roman" w:cs="Times New Roman"/>
          <w:color w:val="000000" w:themeColor="text1"/>
          <w:sz w:val="24"/>
          <w:szCs w:val="24"/>
          <w:shd w:val="clear" w:color="auto" w:fill="FFFFFF"/>
          <w14:textFill>
            <w14:solidFill>
              <w14:schemeClr w14:val="tx1"/>
            </w14:solidFill>
          </w14:textFill>
        </w:rPr>
        <w:t>107国道、319国</w:t>
      </w:r>
      <w:r>
        <w:rPr>
          <w:rFonts w:hint="eastAsia" w:ascii="宋体" w:hAnsi="宋体" w:eastAsia="宋体"/>
          <w:color w:val="000000" w:themeColor="text1"/>
          <w:sz w:val="24"/>
          <w:szCs w:val="24"/>
          <w14:textFill>
            <w14:solidFill>
              <w14:schemeClr w14:val="tx1"/>
            </w14:solidFill>
          </w14:textFill>
        </w:rPr>
        <w:t>道等与市、区内“八纵十横”的市政道路，交织成一张“四通八达”的交通网络</w:t>
      </w:r>
      <w:r>
        <w:rPr>
          <w:rFonts w:hint="eastAsia" w:ascii="楷体" w:hAnsi="楷体" w:eastAsia="楷体"/>
          <w:color w:val="000000" w:themeColor="text1"/>
          <w:sz w:val="24"/>
          <w:szCs w:val="24"/>
          <w14:textFill>
            <w14:solidFill>
              <w14:schemeClr w14:val="tx1"/>
            </w14:solidFill>
          </w14:textFill>
        </w:rPr>
        <w:t>（见附录3）</w:t>
      </w:r>
      <w:r>
        <w:rPr>
          <w:rFonts w:hint="eastAsia" w:ascii="宋体" w:hAnsi="宋体" w:eastAsia="宋体"/>
          <w:color w:val="000000" w:themeColor="text1"/>
          <w:sz w:val="24"/>
          <w:szCs w:val="24"/>
          <w14:textFill>
            <w14:solidFill>
              <w14:schemeClr w14:val="tx1"/>
            </w14:solidFill>
          </w14:textFill>
        </w:rPr>
        <w:t>。长沙火车货运中心是国家一类铁路口岸；长沙新港是国家二类水运口岸，</w:t>
      </w:r>
      <w:r>
        <w:rPr>
          <w:rFonts w:hint="eastAsia" w:asciiTheme="minorEastAsia" w:hAnsiTheme="minorEastAsia"/>
          <w:color w:val="000000" w:themeColor="text1"/>
          <w:sz w:val="24"/>
          <w:szCs w:val="24"/>
          <w14:textFill>
            <w14:solidFill>
              <w14:schemeClr w14:val="tx1"/>
            </w14:solidFill>
          </w14:textFill>
        </w:rPr>
        <w:t>长沙新港货物通过湘江入长江经上海港中转运往世界各基本港，形成了“通江达海，物流全球”的水路网络体系；</w:t>
      </w:r>
      <w:r>
        <w:rPr>
          <w:rFonts w:hint="eastAsia" w:ascii="宋体" w:hAnsi="宋体" w:eastAsia="宋体"/>
          <w:color w:val="000000" w:themeColor="text1"/>
          <w:sz w:val="24"/>
          <w:szCs w:val="24"/>
          <w14:textFill>
            <w14:solidFill>
              <w14:schemeClr w14:val="tx1"/>
            </w14:solidFill>
          </w14:textFill>
        </w:rPr>
        <w:t>传化智能公路港全面解决“物流最后一公里”问题；</w:t>
      </w:r>
      <w:r>
        <w:rPr>
          <w:rFonts w:hint="eastAsia" w:asciiTheme="minorEastAsia" w:hAnsiTheme="minorEastAsia"/>
          <w:color w:val="000000" w:themeColor="text1"/>
          <w:sz w:val="24"/>
          <w:szCs w:val="24"/>
          <w14:textFill>
            <w14:solidFill>
              <w14:schemeClr w14:val="tx1"/>
            </w14:solidFill>
          </w14:textFill>
        </w:rPr>
        <w:t>石油分销中心成为西气东输的过境要道，是</w:t>
      </w:r>
      <w:r>
        <w:rPr>
          <w:rFonts w:hint="eastAsia" w:ascii="宋体" w:hAnsi="宋体" w:eastAsia="宋体"/>
          <w:color w:val="000000" w:themeColor="text1"/>
          <w:sz w:val="24"/>
          <w:szCs w:val="24"/>
          <w14:textFill>
            <w14:solidFill>
              <w14:schemeClr w14:val="tx1"/>
            </w14:solidFill>
          </w14:textFill>
        </w:rPr>
        <w:t>长株潭城市群和周边地区油品管道运输枢纽</w:t>
      </w:r>
      <w:r>
        <w:rPr>
          <w:rFonts w:hint="eastAsia" w:asciiTheme="minorEastAsia" w:hAnsiTheme="minorEastAsia"/>
          <w:color w:val="000000" w:themeColor="text1"/>
          <w:sz w:val="24"/>
          <w:szCs w:val="24"/>
          <w14:textFill>
            <w14:solidFill>
              <w14:schemeClr w14:val="tx1"/>
            </w14:solidFill>
          </w14:textFill>
        </w:rPr>
        <w:t>；黄花机场距</w:t>
      </w:r>
      <w:r>
        <w:rPr>
          <w:rFonts w:asciiTheme="minorEastAsia" w:hAnsiTheme="minorEastAsia"/>
          <w:color w:val="000000" w:themeColor="text1"/>
          <w:sz w:val="24"/>
          <w:szCs w:val="24"/>
          <w14:textFill>
            <w14:solidFill>
              <w14:schemeClr w14:val="tx1"/>
            </w14:solidFill>
          </w14:textFill>
        </w:rPr>
        <w:t>园区</w:t>
      </w:r>
      <w:r>
        <w:rPr>
          <w:rFonts w:hint="eastAsia" w:asciiTheme="minorEastAsia" w:hAnsiTheme="minorEastAsia"/>
          <w:color w:val="000000" w:themeColor="text1"/>
          <w:sz w:val="24"/>
          <w:szCs w:val="24"/>
          <w14:textFill>
            <w14:solidFill>
              <w14:schemeClr w14:val="tx1"/>
            </w14:solidFill>
          </w14:textFill>
        </w:rPr>
        <w:t>仅</w:t>
      </w:r>
      <w:r>
        <w:rPr>
          <w:rFonts w:hint="eastAsia" w:ascii="Times New Roman" w:hAnsi="Times New Roman" w:cs="Times New Roman"/>
          <w:color w:val="000000" w:themeColor="text1"/>
          <w:sz w:val="24"/>
          <w:szCs w:val="24"/>
          <w:shd w:val="clear" w:color="auto" w:fill="FFFFFF"/>
          <w14:textFill>
            <w14:solidFill>
              <w14:schemeClr w14:val="tx1"/>
            </w14:solidFill>
          </w14:textFill>
        </w:rPr>
        <w:t>20</w:t>
      </w:r>
      <w:r>
        <w:rPr>
          <w:rFonts w:hint="eastAsia" w:asciiTheme="minorEastAsia" w:hAnsiTheme="minorEastAsia"/>
          <w:color w:val="000000" w:themeColor="text1"/>
          <w:sz w:val="24"/>
          <w:szCs w:val="24"/>
          <w14:textFill>
            <w14:solidFill>
              <w14:schemeClr w14:val="tx1"/>
            </w14:solidFill>
          </w14:textFill>
        </w:rPr>
        <w:t>公里，是服务长株潭、辐射中部、影响全国的货运枢纽中心、国家一级物流节点和重要的国际物流转换基地。</w:t>
      </w:r>
      <w:bookmarkStart w:id="1" w:name="_Toc434218396"/>
    </w:p>
    <w:p>
      <w:pPr>
        <w:spacing w:line="360" w:lineRule="auto"/>
        <w:ind w:firstLine="482"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b/>
          <w:color w:val="000000" w:themeColor="text1"/>
          <w:sz w:val="24"/>
          <w:szCs w:val="24"/>
          <w14:textFill>
            <w14:solidFill>
              <w14:schemeClr w14:val="tx1"/>
            </w14:solidFill>
          </w14:textFill>
        </w:rPr>
        <w:t>——</w:t>
      </w:r>
      <w:r>
        <w:rPr>
          <w:rFonts w:hint="eastAsia" w:asciiTheme="minorEastAsia" w:hAnsiTheme="minorEastAsia"/>
          <w:b/>
          <w:color w:val="000000" w:themeColor="text1"/>
          <w:sz w:val="24"/>
          <w:szCs w:val="24"/>
          <w14:textFill>
            <w14:solidFill>
              <w14:schemeClr w14:val="tx1"/>
            </w14:solidFill>
          </w14:textFill>
        </w:rPr>
        <w:t>独具独特</w:t>
      </w:r>
      <w:r>
        <w:rPr>
          <w:rFonts w:asciiTheme="minorEastAsia" w:hAnsiTheme="minorEastAsia"/>
          <w:b/>
          <w:color w:val="000000" w:themeColor="text1"/>
          <w:sz w:val="24"/>
          <w:szCs w:val="24"/>
          <w14:textFill>
            <w14:solidFill>
              <w14:schemeClr w14:val="tx1"/>
            </w14:solidFill>
          </w14:textFill>
        </w:rPr>
        <w:t>的</w:t>
      </w:r>
      <w:r>
        <w:rPr>
          <w:rFonts w:hint="eastAsia" w:asciiTheme="minorEastAsia" w:hAnsiTheme="minorEastAsia"/>
          <w:b/>
          <w:color w:val="000000" w:themeColor="text1"/>
          <w:sz w:val="24"/>
          <w:szCs w:val="24"/>
          <w14:textFill>
            <w14:solidFill>
              <w14:schemeClr w14:val="tx1"/>
            </w14:solidFill>
          </w14:textFill>
        </w:rPr>
        <w:t>平台优势</w:t>
      </w:r>
      <w:bookmarkEnd w:id="1"/>
      <w:r>
        <w:rPr>
          <w:rFonts w:hint="eastAsia" w:asciiTheme="minorEastAsia" w:hAnsiTheme="minorEastAsia"/>
          <w:b/>
          <w:bCs/>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园区是湖南省贯彻落实国家“一带一路”和长江经济带战略的桥头堡，也是长沙推动城市沿江北上发展的核心区域，被列为长沙市东部开放型走廊的临港（铁）片区。</w:t>
      </w:r>
      <w:r>
        <w:rPr>
          <w:rFonts w:hint="eastAsia" w:asciiTheme="minorEastAsia" w:hAnsiTheme="minorEastAsia"/>
          <w:color w:val="000000" w:themeColor="text1"/>
          <w:sz w:val="24"/>
          <w:szCs w:val="24"/>
          <w14:textFill>
            <w14:solidFill>
              <w14:schemeClr w14:val="tx1"/>
            </w14:solidFill>
          </w14:textFill>
        </w:rPr>
        <w:t>园区是</w:t>
      </w:r>
      <w:r>
        <w:rPr>
          <w:rFonts w:asciiTheme="minorEastAsia" w:hAnsiTheme="minorEastAsia"/>
          <w:color w:val="000000" w:themeColor="text1"/>
          <w:sz w:val="24"/>
          <w:szCs w:val="24"/>
          <w14:textFill>
            <w14:solidFill>
              <w14:schemeClr w14:val="tx1"/>
            </w14:solidFill>
          </w14:textFill>
        </w:rPr>
        <w:t>口岸集中区域，</w:t>
      </w:r>
      <w:r>
        <w:rPr>
          <w:rFonts w:hint="eastAsia" w:asciiTheme="minorEastAsia" w:hAnsiTheme="minorEastAsia"/>
          <w:color w:val="000000" w:themeColor="text1"/>
          <w:sz w:val="24"/>
          <w:szCs w:val="24"/>
          <w14:textFill>
            <w14:solidFill>
              <w14:schemeClr w14:val="tx1"/>
            </w14:solidFill>
          </w14:textFill>
        </w:rPr>
        <w:t>拥有功能完善的平台优势，其中长沙金霞保税物流中心是中部首批国家</w:t>
      </w:r>
      <w:r>
        <w:rPr>
          <w:rFonts w:hint="eastAsia" w:ascii="Times New Roman" w:hAnsi="Times New Roman" w:cs="Times New Roman"/>
          <w:color w:val="000000" w:themeColor="text1"/>
          <w:sz w:val="24"/>
          <w:szCs w:val="24"/>
          <w:shd w:val="clear" w:color="auto" w:fill="FFFFFF"/>
          <w14:textFill>
            <w14:solidFill>
              <w14:schemeClr w14:val="tx1"/>
            </w14:solidFill>
          </w14:textFill>
        </w:rPr>
        <w:t>B</w:t>
      </w:r>
      <w:r>
        <w:rPr>
          <w:rFonts w:hint="eastAsia" w:asciiTheme="minorEastAsia" w:hAnsiTheme="minorEastAsia"/>
          <w:color w:val="000000" w:themeColor="text1"/>
          <w:sz w:val="24"/>
          <w:szCs w:val="24"/>
          <w14:textFill>
            <w14:solidFill>
              <w14:schemeClr w14:val="tx1"/>
            </w14:solidFill>
          </w14:textFill>
        </w:rPr>
        <w:t>型保税物流中心并已验收封关运行</w:t>
      </w:r>
      <w:r>
        <w:rPr>
          <w:rFonts w:hint="eastAsia" w:ascii="Times New Roman" w:hAnsi="Times New Roman" w:cs="Times New Roman"/>
          <w:color w:val="000000" w:themeColor="text1"/>
          <w:sz w:val="24"/>
          <w:szCs w:val="24"/>
          <w:shd w:val="clear" w:color="auto" w:fill="FFFFFF"/>
          <w14:textFill>
            <w14:solidFill>
              <w14:schemeClr w14:val="tx1"/>
            </w14:solidFill>
          </w14:textFill>
        </w:rPr>
        <w:t>5</w:t>
      </w:r>
      <w:r>
        <w:rPr>
          <w:rFonts w:hint="eastAsia" w:asciiTheme="minorEastAsia" w:hAnsiTheme="minorEastAsia"/>
          <w:color w:val="000000" w:themeColor="text1"/>
          <w:sz w:val="24"/>
          <w:szCs w:val="24"/>
          <w14:textFill>
            <w14:solidFill>
              <w14:schemeClr w14:val="tx1"/>
            </w14:solidFill>
          </w14:textFill>
        </w:rPr>
        <w:t>年，是湖南外向型经济发展的重要窗口；金霞跨境产业平台作为湖南对接“一带一路”重要平台通道之一，是湖南跨境电商试点园区、长沙海关批准的全省保税展示交易和跨境电商监管的核心通道；</w:t>
      </w:r>
      <w:r>
        <w:rPr>
          <w:rFonts w:hint="eastAsia" w:ascii="宋体" w:hAnsi="宋体" w:eastAsia="宋体"/>
          <w:color w:val="000000" w:themeColor="text1"/>
          <w:sz w:val="24"/>
          <w:szCs w:val="24"/>
          <w14:textFill>
            <w14:solidFill>
              <w14:schemeClr w14:val="tx1"/>
            </w14:solidFill>
          </w14:textFill>
        </w:rPr>
        <w:t>长沙新港开通了至上海港的“五定班轮”，开通了至欧美、韩、日的国际集装箱航线</w:t>
      </w:r>
      <w:r>
        <w:rPr>
          <w:rFonts w:hint="eastAsia" w:ascii="Times New Roman" w:hAnsi="Times New Roman" w:cs="Times New Roman"/>
          <w:color w:val="000000" w:themeColor="text1"/>
          <w:sz w:val="24"/>
          <w:szCs w:val="24"/>
          <w:shd w:val="clear" w:color="auto" w:fill="FFFFFF"/>
          <w14:textFill>
            <w14:solidFill>
              <w14:schemeClr w14:val="tx1"/>
            </w14:solidFill>
          </w14:textFill>
        </w:rPr>
        <w:t>7</w:t>
      </w:r>
      <w:r>
        <w:rPr>
          <w:rFonts w:hint="eastAsia" w:ascii="宋体" w:hAnsi="宋体" w:eastAsia="宋体"/>
          <w:color w:val="000000" w:themeColor="text1"/>
          <w:sz w:val="24"/>
          <w:szCs w:val="24"/>
          <w14:textFill>
            <w14:solidFill>
              <w14:schemeClr w14:val="tx1"/>
            </w14:solidFill>
          </w14:textFill>
        </w:rPr>
        <w:t>条；长沙火车货运中心开通了至广州、深圳的“五定班列”和直通德国杜伊斯堡的中欧班列，启用了“无水港”；</w:t>
      </w:r>
      <w:r>
        <w:rPr>
          <w:rFonts w:hint="eastAsia" w:asciiTheme="minorEastAsia" w:hAnsiTheme="minorEastAsia"/>
          <w:color w:val="000000" w:themeColor="text1"/>
          <w:sz w:val="24"/>
          <w:szCs w:val="24"/>
          <w14:textFill>
            <w14:solidFill>
              <w14:schemeClr w14:val="tx1"/>
            </w14:solidFill>
          </w14:textFill>
        </w:rPr>
        <w:t xml:space="preserve"> “五定班轮”、“五定班列”和“湘欧快线”等成为湖南省乃至中部省份城市重要的外贸运输通道，具备进出口货物转运和集散功能；海关、商检入驻办公，</w:t>
      </w:r>
      <w:r>
        <w:rPr>
          <w:rFonts w:hint="eastAsia" w:ascii="宋体" w:hAnsi="宋体" w:eastAsia="宋体"/>
          <w:color w:val="000000" w:themeColor="text1"/>
          <w:sz w:val="24"/>
          <w:szCs w:val="24"/>
          <w14:textFill>
            <w14:solidFill>
              <w14:schemeClr w14:val="tx1"/>
            </w14:solidFill>
          </w14:textFill>
        </w:rPr>
        <w:t>建成了联检大厅，</w:t>
      </w:r>
      <w:r>
        <w:rPr>
          <w:rFonts w:hint="eastAsia" w:asciiTheme="minorEastAsia" w:hAnsiTheme="minorEastAsia"/>
          <w:color w:val="000000" w:themeColor="text1"/>
          <w:sz w:val="24"/>
          <w:szCs w:val="24"/>
          <w14:textFill>
            <w14:solidFill>
              <w14:schemeClr w14:val="tx1"/>
            </w14:solidFill>
          </w14:textFill>
        </w:rPr>
        <w:t>实行“金霞大通关”模式，进出口货物实现一次报关、一次查验、一次放行，提高了通关效率，降低了物流成本。</w:t>
      </w:r>
      <w:bookmarkStart w:id="2" w:name="_Toc434218397"/>
    </w:p>
    <w:p>
      <w:pPr>
        <w:spacing w:line="360" w:lineRule="auto"/>
        <w:ind w:firstLine="482" w:firstLineChars="200"/>
        <w:rPr>
          <w:rFonts w:asciiTheme="minorEastAsia" w:hAnsiTheme="minorEastAsia"/>
          <w:color w:val="000000" w:themeColor="text1"/>
          <w:sz w:val="24"/>
          <w:szCs w:val="24"/>
          <w14:textFill>
            <w14:solidFill>
              <w14:schemeClr w14:val="tx1"/>
            </w14:solidFill>
          </w14:textFill>
        </w:rPr>
      </w:pPr>
      <w:r>
        <w:rPr>
          <w:rFonts w:hint="eastAsia" w:ascii="宋体" w:hAnsi="宋体" w:eastAsia="宋体"/>
          <w:b/>
          <w:color w:val="000000" w:themeColor="text1"/>
          <w:sz w:val="24"/>
          <w:szCs w:val="24"/>
          <w14:textFill>
            <w14:solidFill>
              <w14:schemeClr w14:val="tx1"/>
            </w14:solidFill>
          </w14:textFill>
        </w:rPr>
        <w:t>——活力迸发的产业集聚优势。</w:t>
      </w:r>
      <w:r>
        <w:rPr>
          <w:rFonts w:hint="eastAsia" w:ascii="宋体" w:hAnsi="宋体" w:eastAsia="宋体"/>
          <w:color w:val="000000" w:themeColor="text1"/>
          <w:sz w:val="24"/>
          <w:szCs w:val="24"/>
          <w14:textFill>
            <w14:solidFill>
              <w14:schemeClr w14:val="tx1"/>
            </w14:solidFill>
          </w14:textFill>
        </w:rPr>
        <w:t>园区始终坚持以现代物流为基础，拓展延伸商贸市场、跨境贸易、建筑工业化、大健康产业，产业集聚</w:t>
      </w:r>
      <w:r>
        <w:rPr>
          <w:rFonts w:hint="eastAsia" w:ascii="宋体" w:hAnsi="宋体" w:eastAsia="宋体"/>
          <w:color w:val="000000" w:themeColor="text1"/>
          <w:sz w:val="24"/>
          <w:szCs w:val="24"/>
          <w:lang w:eastAsia="zh-CN"/>
          <w14:textFill>
            <w14:solidFill>
              <w14:schemeClr w14:val="tx1"/>
            </w14:solidFill>
          </w14:textFill>
        </w:rPr>
        <w:t>优势</w:t>
      </w:r>
      <w:r>
        <w:rPr>
          <w:rFonts w:hint="eastAsia" w:ascii="宋体" w:hAnsi="宋体" w:eastAsia="宋体"/>
          <w:color w:val="000000" w:themeColor="text1"/>
          <w:sz w:val="24"/>
          <w:szCs w:val="24"/>
          <w14:textFill>
            <w14:solidFill>
              <w14:schemeClr w14:val="tx1"/>
            </w14:solidFill>
          </w14:textFill>
        </w:rPr>
        <w:t>凸显。现代物流：入驻企业</w:t>
      </w:r>
      <w:r>
        <w:rPr>
          <w:rFonts w:hint="eastAsia" w:ascii="Times New Roman" w:hAnsi="Times New Roman" w:cs="Times New Roman"/>
          <w:color w:val="000000" w:themeColor="text1"/>
          <w:sz w:val="24"/>
          <w:szCs w:val="24"/>
          <w:shd w:val="clear" w:color="auto" w:fill="FFFFFF"/>
          <w14:textFill>
            <w14:solidFill>
              <w14:schemeClr w14:val="tx1"/>
            </w14:solidFill>
          </w14:textFill>
        </w:rPr>
        <w:t>98家，其中5A级10家、4A级7</w:t>
      </w:r>
      <w:r>
        <w:rPr>
          <w:rFonts w:hint="eastAsia" w:ascii="宋体" w:hAnsi="宋体" w:eastAsia="宋体"/>
          <w:color w:val="000000" w:themeColor="text1"/>
          <w:sz w:val="24"/>
          <w:szCs w:val="24"/>
          <w14:textFill>
            <w14:solidFill>
              <w14:schemeClr w14:val="tx1"/>
            </w14:solidFill>
          </w14:textFill>
        </w:rPr>
        <w:t>家，形成了粮食、能源、医药、电商等物流产业集群；商贸市场：突出打造引领中部的商贸物流产业生态圈，高岭国际商贸城入驻商</w:t>
      </w:r>
      <w:r>
        <w:rPr>
          <w:rFonts w:hint="eastAsia" w:ascii="Times New Roman" w:hAnsi="Times New Roman" w:cs="Times New Roman"/>
          <w:color w:val="000000" w:themeColor="text1"/>
          <w:sz w:val="24"/>
          <w:szCs w:val="24"/>
          <w:shd w:val="clear" w:color="auto" w:fill="FFFFFF"/>
          <w14:textFill>
            <w14:solidFill>
              <w14:schemeClr w14:val="tx1"/>
            </w14:solidFill>
          </w14:textFill>
        </w:rPr>
        <w:t>户2500</w:t>
      </w:r>
      <w:r>
        <w:rPr>
          <w:rFonts w:hint="eastAsia" w:ascii="宋体" w:hAnsi="宋体" w:eastAsia="宋体"/>
          <w:color w:val="000000" w:themeColor="text1"/>
          <w:sz w:val="24"/>
          <w:szCs w:val="24"/>
          <w14:textFill>
            <w14:solidFill>
              <w14:schemeClr w14:val="tx1"/>
            </w14:solidFill>
          </w14:textFill>
        </w:rPr>
        <w:t>家；跨境贸易板块：打造了中部领先的跨境产贸城，入驻企</w:t>
      </w:r>
      <w:r>
        <w:rPr>
          <w:rFonts w:hint="eastAsia" w:ascii="Times New Roman" w:hAnsi="Times New Roman" w:cs="Times New Roman"/>
          <w:color w:val="000000" w:themeColor="text1"/>
          <w:sz w:val="24"/>
          <w:szCs w:val="24"/>
          <w:shd w:val="clear" w:color="auto" w:fill="FFFFFF"/>
          <w14:textFill>
            <w14:solidFill>
              <w14:schemeClr w14:val="tx1"/>
            </w14:solidFill>
          </w14:textFill>
        </w:rPr>
        <w:t>业87</w:t>
      </w:r>
      <w:r>
        <w:rPr>
          <w:rFonts w:hint="eastAsia" w:ascii="宋体" w:hAnsi="宋体" w:eastAsia="宋体"/>
          <w:color w:val="000000" w:themeColor="text1"/>
          <w:sz w:val="24"/>
          <w:szCs w:val="24"/>
          <w14:textFill>
            <w14:solidFill>
              <w14:schemeClr w14:val="tx1"/>
            </w14:solidFill>
          </w14:textFill>
        </w:rPr>
        <w:t>家，长沙金霞保税店建成开业，即将向湖南十三个地州市复制推广；建筑工业化板块</w:t>
      </w:r>
      <w:r>
        <w:rPr>
          <w:rFonts w:hint="eastAsia" w:ascii="宋体" w:hAnsi="宋体" w:eastAsia="宋体"/>
          <w:color w:val="000000" w:themeColor="text1"/>
          <w:sz w:val="24"/>
          <w:szCs w:val="24"/>
          <w:lang w:eastAsia="zh-CN"/>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打造了湖南省领先</w:t>
      </w:r>
      <w:r>
        <w:rPr>
          <w:rFonts w:hint="eastAsia" w:asciiTheme="minorEastAsia" w:hAnsiTheme="minorEastAsia"/>
          <w:color w:val="000000" w:themeColor="text1"/>
          <w:sz w:val="24"/>
          <w:szCs w:val="24"/>
          <w14:textFill>
            <w14:solidFill>
              <w14:schemeClr w14:val="tx1"/>
            </w14:solidFill>
          </w14:textFill>
        </w:rPr>
        <w:t>的“两型”住宅产业化基地，入驻工业企业</w:t>
      </w:r>
      <w:r>
        <w:rPr>
          <w:rFonts w:hint="eastAsia" w:ascii="Times New Roman" w:hAnsi="Times New Roman" w:cs="Times New Roman"/>
          <w:color w:val="000000" w:themeColor="text1"/>
          <w:sz w:val="24"/>
          <w:szCs w:val="24"/>
          <w:shd w:val="clear" w:color="auto" w:fill="FFFFFF"/>
          <w14:textFill>
            <w14:solidFill>
              <w14:schemeClr w14:val="tx1"/>
            </w14:solidFill>
          </w14:textFill>
        </w:rPr>
        <w:t>86</w:t>
      </w:r>
      <w:r>
        <w:rPr>
          <w:rFonts w:hint="eastAsia" w:asciiTheme="minorEastAsia" w:hAnsiTheme="minorEastAsia"/>
          <w:color w:val="000000" w:themeColor="text1"/>
          <w:sz w:val="24"/>
          <w:szCs w:val="24"/>
          <w14:textFill>
            <w14:solidFill>
              <w14:schemeClr w14:val="tx1"/>
            </w14:solidFill>
          </w14:textFill>
        </w:rPr>
        <w:t>家。</w:t>
      </w:r>
    </w:p>
    <w:p>
      <w:pPr>
        <w:spacing w:line="360" w:lineRule="auto"/>
        <w:ind w:firstLine="482" w:firstLineChars="200"/>
        <w:rPr>
          <w:rFonts w:asciiTheme="minorEastAsia" w:hAnsiTheme="minorEastAsia"/>
          <w:color w:val="000000" w:themeColor="text1"/>
          <w:sz w:val="24"/>
          <w:szCs w:val="24"/>
          <w14:textFill>
            <w14:solidFill>
              <w14:schemeClr w14:val="tx1"/>
            </w14:solidFill>
          </w14:textFill>
        </w:rPr>
      </w:pPr>
      <w:r>
        <w:rPr>
          <w:rFonts w:asciiTheme="minorEastAsia" w:hAnsiTheme="minorEastAsia"/>
          <w:b/>
          <w:color w:val="000000" w:themeColor="text1"/>
          <w:sz w:val="24"/>
          <w:szCs w:val="24"/>
          <w14:textFill>
            <w14:solidFill>
              <w14:schemeClr w14:val="tx1"/>
            </w14:solidFill>
          </w14:textFill>
        </w:rPr>
        <w:t>——</w:t>
      </w:r>
      <w:r>
        <w:rPr>
          <w:rFonts w:hint="eastAsia" w:asciiTheme="minorEastAsia" w:hAnsiTheme="minorEastAsia"/>
          <w:b/>
          <w:color w:val="000000" w:themeColor="text1"/>
          <w:sz w:val="24"/>
          <w:szCs w:val="24"/>
          <w14:textFill>
            <w14:solidFill>
              <w14:schemeClr w14:val="tx1"/>
            </w14:solidFill>
          </w14:textFill>
        </w:rPr>
        <w:t>浑然天成</w:t>
      </w:r>
      <w:r>
        <w:rPr>
          <w:rFonts w:asciiTheme="minorEastAsia" w:hAnsiTheme="minorEastAsia"/>
          <w:b/>
          <w:color w:val="000000" w:themeColor="text1"/>
          <w:sz w:val="24"/>
          <w:szCs w:val="24"/>
          <w14:textFill>
            <w14:solidFill>
              <w14:schemeClr w14:val="tx1"/>
            </w14:solidFill>
          </w14:textFill>
        </w:rPr>
        <w:t>的</w:t>
      </w:r>
      <w:r>
        <w:rPr>
          <w:rFonts w:hint="eastAsia" w:asciiTheme="minorEastAsia" w:hAnsiTheme="minorEastAsia"/>
          <w:b/>
          <w:color w:val="000000" w:themeColor="text1"/>
          <w:sz w:val="24"/>
          <w:szCs w:val="24"/>
          <w14:textFill>
            <w14:solidFill>
              <w14:schemeClr w14:val="tx1"/>
            </w14:solidFill>
          </w14:textFill>
        </w:rPr>
        <w:t>生态优势</w:t>
      </w:r>
      <w:r>
        <w:rPr>
          <w:rFonts w:hint="eastAsia" w:asciiTheme="minorEastAsia" w:hAnsiTheme="minorEastAsia"/>
          <w:b/>
          <w:bCs/>
          <w:color w:val="000000" w:themeColor="text1"/>
          <w:sz w:val="24"/>
          <w:szCs w:val="24"/>
          <w14:textFill>
            <w14:solidFill>
              <w14:schemeClr w14:val="tx1"/>
            </w14:solidFill>
          </w14:textFill>
        </w:rPr>
        <w:t>。</w:t>
      </w:r>
      <w:r>
        <w:rPr>
          <w:rFonts w:hint="eastAsia" w:asciiTheme="minorEastAsia" w:hAnsiTheme="minorEastAsia"/>
          <w:color w:val="000000" w:themeColor="text1"/>
          <w:sz w:val="24"/>
          <w:szCs w:val="24"/>
          <w14:textFill>
            <w14:solidFill>
              <w14:schemeClr w14:val="tx1"/>
            </w14:solidFill>
          </w14:textFill>
        </w:rPr>
        <w:t>园区生态资源丰富，拥有“一江（湘江）、两河（浏阳河、捞刀河）、十湖十园”的天然生态资源，打造了以青竹湖国家森林公园、苏托垸生态湿地为核心，秀峰山、鹅羊山、太阳山、凤羽湖、楚家湖和关公湖为节点的“两核、四带、四廊、六节点”的新城生态系统，构建了“江景映城、河湖通汇、山城共生”的环境友好型生态系统大框架。</w:t>
      </w:r>
    </w:p>
    <w:p>
      <w:pPr>
        <w:pStyle w:val="19"/>
        <w:shd w:val="clear" w:color="auto" w:fill="FFFFFF"/>
        <w:spacing w:before="0" w:beforeAutospacing="0" w:after="0" w:afterAutospacing="0" w:line="360" w:lineRule="auto"/>
        <w:ind w:firstLine="482" w:firstLineChars="200"/>
        <w:jc w:val="both"/>
        <w:rPr>
          <w:rFonts w:cs="Arial" w:asciiTheme="minorEastAsia" w:hAnsiTheme="minorEastAsia" w:eastAsiaTheme="minorEastAsia"/>
          <w:color w:val="000000" w:themeColor="text1"/>
          <w14:textFill>
            <w14:solidFill>
              <w14:schemeClr w14:val="tx1"/>
            </w14:solidFill>
          </w14:textFill>
        </w:rPr>
      </w:pPr>
      <w:r>
        <w:rPr>
          <w:rFonts w:hint="eastAsia" w:asciiTheme="minorEastAsia" w:hAnsiTheme="minorEastAsia"/>
          <w:b/>
          <w:color w:val="000000" w:themeColor="text1"/>
          <w14:textFill>
            <w14:solidFill>
              <w14:schemeClr w14:val="tx1"/>
            </w14:solidFill>
          </w14:textFill>
        </w:rPr>
        <w:t>——潜力巨大的空间发展优势。</w:t>
      </w:r>
      <w:r>
        <w:rPr>
          <w:rFonts w:hint="eastAsia" w:asciiTheme="minorEastAsia" w:hAnsiTheme="minorEastAsia"/>
          <w:color w:val="000000" w:themeColor="text1"/>
          <w14:textFill>
            <w14:solidFill>
              <w14:schemeClr w14:val="tx1"/>
            </w14:solidFill>
          </w14:textFill>
        </w:rPr>
        <w:t>园区总规划面积</w:t>
      </w:r>
      <w:r>
        <w:rPr>
          <w:rFonts w:hint="default" w:ascii="Times New Roman" w:hAnsi="Times New Roman" w:cs="Times New Roman"/>
          <w:color w:val="000000" w:themeColor="text1"/>
          <w14:textFill>
            <w14:solidFill>
              <w14:schemeClr w14:val="tx1"/>
            </w14:solidFill>
          </w14:textFill>
        </w:rPr>
        <w:t>为84平</w:t>
      </w:r>
      <w:r>
        <w:rPr>
          <w:rFonts w:hint="eastAsia" w:asciiTheme="minorEastAsia" w:hAnsiTheme="minorEastAsia"/>
          <w:color w:val="000000" w:themeColor="text1"/>
          <w14:textFill>
            <w14:solidFill>
              <w14:schemeClr w14:val="tx1"/>
            </w14:solidFill>
          </w14:textFill>
        </w:rPr>
        <w:t>方公里，由金霞、高岭、鹅秀、沙坪、青竹湖</w:t>
      </w:r>
      <w:r>
        <w:rPr>
          <w:rFonts w:hint="default" w:ascii="Times New Roman" w:hAnsi="Times New Roman" w:cs="Times New Roman"/>
          <w:color w:val="000000" w:themeColor="text1"/>
          <w14:textFill>
            <w14:solidFill>
              <w14:schemeClr w14:val="tx1"/>
            </w14:solidFill>
          </w14:textFill>
        </w:rPr>
        <w:t>5</w:t>
      </w:r>
      <w:r>
        <w:rPr>
          <w:rFonts w:hint="eastAsia" w:asciiTheme="minorEastAsia" w:hAnsiTheme="minorEastAsia"/>
          <w:color w:val="000000" w:themeColor="text1"/>
          <w14:textFill>
            <w14:solidFill>
              <w14:schemeClr w14:val="tx1"/>
            </w14:solidFill>
          </w14:textFill>
        </w:rPr>
        <w:t>个组团组成，可开发空间巨大</w:t>
      </w:r>
      <w:r>
        <w:rPr>
          <w:rFonts w:hint="eastAsia" w:ascii="楷体" w:hAnsi="楷体" w:eastAsia="楷体"/>
          <w:color w:val="000000" w:themeColor="text1"/>
          <w14:textFill>
            <w14:solidFill>
              <w14:schemeClr w14:val="tx1"/>
            </w14:solidFill>
          </w14:textFill>
        </w:rPr>
        <w:t>（见附录4）</w:t>
      </w:r>
      <w:r>
        <w:rPr>
          <w:rFonts w:hint="eastAsia" w:asciiTheme="minorEastAsia" w:hAnsiTheme="minorEastAsia"/>
          <w:color w:val="000000" w:themeColor="text1"/>
          <w14:textFill>
            <w14:solidFill>
              <w14:schemeClr w14:val="tx1"/>
            </w14:solidFill>
          </w14:textFill>
        </w:rPr>
        <w:t>。</w:t>
      </w:r>
      <w:r>
        <w:rPr>
          <w:rFonts w:hint="eastAsia" w:cs="Arial" w:asciiTheme="minorEastAsia" w:hAnsiTheme="minorEastAsia" w:eastAsiaTheme="minorEastAsia"/>
          <w:color w:val="000000" w:themeColor="text1"/>
          <w14:textFill>
            <w14:solidFill>
              <w14:schemeClr w14:val="tx1"/>
            </w14:solidFill>
          </w14:textFill>
        </w:rPr>
        <w:t>其中，金霞组团主要发展现代物流业；</w:t>
      </w:r>
      <w:r>
        <w:rPr>
          <w:rFonts w:hint="eastAsia" w:asciiTheme="minorEastAsia" w:hAnsiTheme="minorEastAsia"/>
          <w:color w:val="000000" w:themeColor="text1"/>
          <w14:textFill>
            <w14:solidFill>
              <w14:schemeClr w14:val="tx1"/>
            </w14:solidFill>
          </w14:textFill>
        </w:rPr>
        <w:t>沙坪组团主要发展食品工业、建筑工业化等产业；</w:t>
      </w:r>
      <w:r>
        <w:rPr>
          <w:rFonts w:hint="eastAsia" w:cs="Arial" w:asciiTheme="minorEastAsia" w:hAnsiTheme="minorEastAsia" w:eastAsiaTheme="minorEastAsia"/>
          <w:color w:val="000000" w:themeColor="text1"/>
          <w14:textFill>
            <w14:solidFill>
              <w14:schemeClr w14:val="tx1"/>
            </w14:solidFill>
          </w14:textFill>
        </w:rPr>
        <w:t>鹅秀组团主要发展滨江高端房地产业；高岭组团主要发展第五代商贸物流市场群；</w:t>
      </w:r>
      <w:r>
        <w:rPr>
          <w:rFonts w:hint="eastAsia" w:asciiTheme="minorEastAsia" w:hAnsiTheme="minorEastAsia"/>
          <w:color w:val="000000" w:themeColor="text1"/>
          <w14:textFill>
            <w14:solidFill>
              <w14:schemeClr w14:val="tx1"/>
            </w14:solidFill>
          </w14:textFill>
        </w:rPr>
        <w:t>青竹湖组团主要发展服务外包、教育培训、文化创意、休闲娱乐、大健康产业等产业。</w:t>
      </w:r>
    </w:p>
    <w:p>
      <w:pPr>
        <w:pStyle w:val="2"/>
        <w:rPr>
          <w:rFonts w:ascii="黑体" w:hAnsi="黑体" w:eastAsia="黑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5</w:t>
      </w:r>
      <w:r>
        <w:rPr>
          <w:rFonts w:ascii="Times New Roman" w:hAnsi="Times New Roman"/>
          <w:color w:val="000000" w:themeColor="text1"/>
          <w:sz w:val="28"/>
          <w:szCs w:val="28"/>
          <w14:textFill>
            <w14:solidFill>
              <w14:schemeClr w14:val="tx1"/>
            </w14:solidFill>
          </w14:textFill>
        </w:rPr>
        <w:t>．</w:t>
      </w:r>
      <w:r>
        <w:rPr>
          <w:rFonts w:hint="eastAsia" w:ascii="黑体" w:hAnsi="黑体" w:eastAsia="黑体"/>
          <w:color w:val="000000" w:themeColor="text1"/>
          <w:sz w:val="28"/>
          <w:szCs w:val="28"/>
          <w14:textFill>
            <w14:solidFill>
              <w14:schemeClr w14:val="tx1"/>
            </w14:solidFill>
          </w14:textFill>
        </w:rPr>
        <w:t xml:space="preserve">发展规划 </w:t>
      </w:r>
    </w:p>
    <w:bookmarkEnd w:id="2"/>
    <w:p>
      <w:pPr>
        <w:spacing w:line="360" w:lineRule="auto"/>
        <w:ind w:firstLine="480" w:firstLineChars="200"/>
        <w:rPr>
          <w:rFonts w:asciiTheme="minorEastAsia" w:hAnsiTheme="minorEastAsia"/>
          <w:color w:val="000000" w:themeColor="text1"/>
          <w:sz w:val="24"/>
          <w:szCs w:val="24"/>
          <w:shd w:val="clear" w:color="auto" w:fill="FFFFFF"/>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长沙金霞经济开发区发展目标：</w:t>
      </w:r>
      <w:r>
        <w:rPr>
          <w:rFonts w:asciiTheme="minorEastAsia" w:hAnsiTheme="minorEastAsia"/>
          <w:color w:val="000000" w:themeColor="text1"/>
          <w:sz w:val="24"/>
          <w:szCs w:val="24"/>
          <w:shd w:val="clear" w:color="auto" w:fill="FFFFFF"/>
          <w14:textFill>
            <w14:solidFill>
              <w14:schemeClr w14:val="tx1"/>
            </w14:solidFill>
          </w14:textFill>
        </w:rPr>
        <w:t>按照“一体两翼”的空间布局和“一主两辅”的产业布局，全面推进“两中心一高地”建设，即打造国家级现代物流中心、国家级商贸集散中心和湖南对外开放高地。</w:t>
      </w:r>
    </w:p>
    <w:p>
      <w:pPr>
        <w:spacing w:line="360" w:lineRule="auto"/>
        <w:ind w:firstLine="480" w:firstLineChars="200"/>
        <w:rPr>
          <w:rFonts w:ascii="楷体" w:hAnsi="楷体" w:eastAsia="楷体" w:cs="楷体_GB2312"/>
          <w:color w:val="000000" w:themeColor="text1"/>
          <w:sz w:val="24"/>
          <w:szCs w:val="24"/>
          <w14:textFill>
            <w14:solidFill>
              <w14:schemeClr w14:val="tx1"/>
            </w14:solidFill>
          </w14:textFill>
        </w:rPr>
      </w:pPr>
      <w:r>
        <w:rPr>
          <w:rFonts w:hint="eastAsia" w:cs="楷体_GB2312" w:asciiTheme="minorEastAsia" w:hAnsiTheme="minorEastAsia"/>
          <w:color w:val="000000" w:themeColor="text1"/>
          <w:sz w:val="24"/>
          <w:szCs w:val="24"/>
          <w14:textFill>
            <w14:solidFill>
              <w14:schemeClr w14:val="tx1"/>
            </w14:solidFill>
          </w14:textFill>
        </w:rPr>
        <w:t xml:space="preserve"> “十三五”时期开发区发展的总体目标是：紧紧围绕园区“打造千亿级产业，建设国家级园区”的奋斗目标，全力推进实力型园区、品质型园区、开放型园区、创新型园区和智慧型园区建设，打造中国金霞物流谷。“千亿级产业”：就是力争</w:t>
      </w:r>
      <w:r>
        <w:rPr>
          <w:rFonts w:hint="default" w:ascii="Times New Roman" w:hAnsi="Times New Roman" w:cs="Times New Roman"/>
          <w:color w:val="000000" w:themeColor="text1"/>
          <w:sz w:val="24"/>
          <w:szCs w:val="24"/>
          <w14:textFill>
            <w14:solidFill>
              <w14:schemeClr w14:val="tx1"/>
            </w14:solidFill>
          </w14:textFill>
        </w:rPr>
        <w:t>到2020</w:t>
      </w:r>
      <w:r>
        <w:rPr>
          <w:rFonts w:hint="eastAsia" w:cs="楷体_GB2312" w:asciiTheme="minorEastAsia" w:hAnsiTheme="minorEastAsia"/>
          <w:color w:val="000000" w:themeColor="text1"/>
          <w:sz w:val="24"/>
          <w:szCs w:val="24"/>
          <w14:textFill>
            <w14:solidFill>
              <w14:schemeClr w14:val="tx1"/>
            </w14:solidFill>
          </w14:textFill>
        </w:rPr>
        <w:t>年实现商贸流通业主营业务收入</w:t>
      </w:r>
      <w:r>
        <w:rPr>
          <w:rFonts w:hint="default" w:ascii="Times New Roman" w:hAnsi="Times New Roman" w:cs="Times New Roman"/>
          <w:color w:val="000000" w:themeColor="text1"/>
          <w:sz w:val="24"/>
          <w:szCs w:val="24"/>
          <w14:textFill>
            <w14:solidFill>
              <w14:schemeClr w14:val="tx1"/>
            </w14:solidFill>
          </w14:textFill>
        </w:rPr>
        <w:t>1000</w:t>
      </w:r>
      <w:r>
        <w:rPr>
          <w:rFonts w:hint="eastAsia" w:cs="楷体_GB2312" w:asciiTheme="minorEastAsia" w:hAnsiTheme="minorEastAsia"/>
          <w:color w:val="000000" w:themeColor="text1"/>
          <w:sz w:val="24"/>
          <w:szCs w:val="24"/>
          <w14:textFill>
            <w14:solidFill>
              <w14:schemeClr w14:val="tx1"/>
            </w14:solidFill>
          </w14:textFill>
        </w:rPr>
        <w:t>亿元以上；“国家级园区”：就是将园区建设成为立足长沙、辐射三湘、影响中部的国家级经济技术</w:t>
      </w:r>
      <w:r>
        <w:rPr>
          <w:rFonts w:cs="楷体_GB2312" w:asciiTheme="minorEastAsia" w:hAnsiTheme="minorEastAsia"/>
          <w:color w:val="000000" w:themeColor="text1"/>
          <w:sz w:val="24"/>
          <w:szCs w:val="24"/>
          <w14:textFill>
            <w14:solidFill>
              <w14:schemeClr w14:val="tx1"/>
            </w14:solidFill>
          </w14:textFill>
        </w:rPr>
        <w:t>开发区</w:t>
      </w:r>
      <w:r>
        <w:rPr>
          <w:rFonts w:hint="eastAsia" w:ascii="楷体" w:hAnsi="楷体" w:eastAsia="楷体" w:cs="楷体_GB2312"/>
          <w:color w:val="000000" w:themeColor="text1"/>
          <w:sz w:val="24"/>
          <w:szCs w:val="24"/>
          <w14:textFill>
            <w14:solidFill>
              <w14:schemeClr w14:val="tx1"/>
            </w14:solidFill>
          </w14:textFill>
        </w:rPr>
        <w:t>（附录5-7）</w:t>
      </w:r>
      <w:r>
        <w:rPr>
          <w:rFonts w:hint="eastAsia" w:cs="楷体_GB2312" w:asciiTheme="minorEastAsia" w:hAnsiTheme="minorEastAsia"/>
          <w:color w:val="000000" w:themeColor="text1"/>
          <w:sz w:val="24"/>
          <w:szCs w:val="24"/>
          <w14:textFill>
            <w14:solidFill>
              <w14:schemeClr w14:val="tx1"/>
            </w14:solidFill>
          </w14:textFill>
        </w:rPr>
        <w:t>。</w:t>
      </w:r>
    </w:p>
    <w:p>
      <w:pPr>
        <w:widowControl/>
        <w:spacing w:line="360" w:lineRule="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w:t>
      </w:r>
      <w:r>
        <w:rPr>
          <w:rFonts w:hint="default" w:ascii="Times New Roman" w:hAnsi="Times New Roman" w:eastAsia="宋体" w:cs="Times New Roman"/>
          <w:color w:val="000000" w:themeColor="text1"/>
          <w:kern w:val="0"/>
          <w:sz w:val="24"/>
          <w:szCs w:val="24"/>
          <w14:textFill>
            <w14:solidFill>
              <w14:schemeClr w14:val="tx1"/>
            </w14:solidFill>
          </w14:textFill>
        </w:rPr>
        <w:t>　2016年，金霞的实力不断壮大，铺排重点产业项目54个，九州通、普洛斯、爱尚通程等10个项目竣工投产，新引进投资过亿元的项目20个，协议投资87.5亿元，平台项目新注册企业和商户350余家。通过项目带动、投资拉动，全年预计完成财政收入18亿元，其中税收11.81亿元，同比增长13%；完成规模工业总产值465亿元，同比增长12%；完成规模工业增加值90亿元，同比增长7.5%；商贸流通业实现营业收入360亿元，同比增长10%；完成固定资产投资135亿元，同比增长35%。</w:t>
      </w:r>
    </w:p>
    <w:p>
      <w:pPr>
        <w:widowControl/>
        <w:spacing w:line="360" w:lineRule="auto"/>
        <w:ind w:firstLine="480"/>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特别是在发展现代物流，打造国家交通物流中心方面，金霞经开区在全国的影响力不断扩大。该园区承办了“</w:t>
      </w:r>
      <w:r>
        <w:rPr>
          <w:rFonts w:hint="default" w:ascii="Times New Roman" w:hAnsi="Times New Roman" w:eastAsia="宋体" w:cs="Times New Roman"/>
          <w:color w:val="000000" w:themeColor="text1"/>
          <w:kern w:val="0"/>
          <w:sz w:val="24"/>
          <w:szCs w:val="24"/>
          <w14:textFill>
            <w14:solidFill>
              <w14:schemeClr w14:val="tx1"/>
            </w14:solidFill>
          </w14:textFill>
        </w:rPr>
        <w:t>2016</w:t>
      </w:r>
      <w:r>
        <w:rPr>
          <w:rFonts w:hint="eastAsia" w:ascii="宋体" w:hAnsi="宋体" w:eastAsia="宋体" w:cs="宋体"/>
          <w:color w:val="000000" w:themeColor="text1"/>
          <w:kern w:val="0"/>
          <w:sz w:val="24"/>
          <w:szCs w:val="24"/>
          <w14:textFill>
            <w14:solidFill>
              <w14:schemeClr w14:val="tx1"/>
            </w14:solidFill>
          </w14:textFill>
        </w:rPr>
        <w:t>全国物流园区工作年会”，获评为全国首批国家级示范物流园区；获评湖南首批现代服务业示范聚集区，现代服务业预计实现营业收</w:t>
      </w:r>
      <w:r>
        <w:rPr>
          <w:rFonts w:hint="eastAsia" w:ascii="Times New Roman" w:hAnsi="Times New Roman" w:eastAsia="宋体" w:cs="Times New Roman"/>
          <w:color w:val="000000" w:themeColor="text1"/>
          <w:kern w:val="0"/>
          <w:sz w:val="24"/>
          <w:szCs w:val="24"/>
          <w14:textFill>
            <w14:solidFill>
              <w14:schemeClr w14:val="tx1"/>
            </w14:solidFill>
          </w14:textFill>
        </w:rPr>
        <w:t>入364</w:t>
      </w:r>
      <w:r>
        <w:rPr>
          <w:rFonts w:hint="eastAsia" w:ascii="宋体" w:hAnsi="宋体" w:eastAsia="宋体" w:cs="宋体"/>
          <w:color w:val="000000" w:themeColor="text1"/>
          <w:kern w:val="0"/>
          <w:sz w:val="24"/>
          <w:szCs w:val="24"/>
          <w14:textFill>
            <w14:solidFill>
              <w14:schemeClr w14:val="tx1"/>
            </w14:solidFill>
          </w14:textFill>
        </w:rPr>
        <w:t>亿元，成为全市现代服务业发展核心区。开放优势更为凸显，长沙新北站二期、长沙新港三期加快建设，中欧班列月发车量增加到</w:t>
      </w:r>
      <w:r>
        <w:rPr>
          <w:rFonts w:hint="eastAsia" w:ascii="Times New Roman" w:hAnsi="Times New Roman" w:eastAsia="宋体" w:cs="Times New Roman"/>
          <w:color w:val="000000" w:themeColor="text1"/>
          <w:kern w:val="0"/>
          <w:sz w:val="24"/>
          <w:szCs w:val="24"/>
          <w14:textFill>
            <w14:solidFill>
              <w14:schemeClr w14:val="tx1"/>
            </w14:solidFill>
          </w14:textFill>
        </w:rPr>
        <w:t>8</w:t>
      </w:r>
      <w:r>
        <w:rPr>
          <w:rFonts w:hint="eastAsia" w:ascii="宋体" w:hAnsi="宋体" w:eastAsia="宋体" w:cs="宋体"/>
          <w:color w:val="000000" w:themeColor="text1"/>
          <w:kern w:val="0"/>
          <w:sz w:val="24"/>
          <w:szCs w:val="24"/>
          <w14:textFill>
            <w14:solidFill>
              <w14:schemeClr w14:val="tx1"/>
            </w14:solidFill>
          </w14:textFill>
        </w:rPr>
        <w:t>列，排名全国第四；金霞保税中心预计完成报关近</w:t>
      </w:r>
      <w:r>
        <w:rPr>
          <w:rFonts w:hint="eastAsia" w:ascii="Times New Roman" w:hAnsi="Times New Roman" w:eastAsia="宋体" w:cs="Times New Roman"/>
          <w:color w:val="000000" w:themeColor="text1"/>
          <w:kern w:val="0"/>
          <w:sz w:val="24"/>
          <w:szCs w:val="24"/>
          <w14:textFill>
            <w14:solidFill>
              <w14:schemeClr w14:val="tx1"/>
            </w14:solidFill>
          </w14:textFill>
        </w:rPr>
        <w:t>1万</w:t>
      </w:r>
      <w:r>
        <w:rPr>
          <w:rFonts w:hint="eastAsia" w:ascii="宋体" w:hAnsi="宋体" w:eastAsia="宋体" w:cs="宋体"/>
          <w:color w:val="000000" w:themeColor="text1"/>
          <w:kern w:val="0"/>
          <w:sz w:val="24"/>
          <w:szCs w:val="24"/>
          <w14:textFill>
            <w14:solidFill>
              <w14:schemeClr w14:val="tx1"/>
            </w14:solidFill>
          </w14:textFill>
        </w:rPr>
        <w:t>票、货值</w:t>
      </w:r>
      <w:r>
        <w:rPr>
          <w:rFonts w:hint="eastAsia" w:ascii="Times New Roman" w:hAnsi="Times New Roman" w:eastAsia="宋体" w:cs="Times New Roman"/>
          <w:color w:val="000000" w:themeColor="text1"/>
          <w:kern w:val="0"/>
          <w:sz w:val="24"/>
          <w:szCs w:val="24"/>
          <w14:textFill>
            <w14:solidFill>
              <w14:schemeClr w14:val="tx1"/>
            </w14:solidFill>
          </w14:textFill>
        </w:rPr>
        <w:t>21.8</w:t>
      </w:r>
      <w:r>
        <w:rPr>
          <w:rFonts w:hint="eastAsia" w:ascii="宋体" w:hAnsi="宋体" w:eastAsia="宋体" w:cs="宋体"/>
          <w:color w:val="000000" w:themeColor="text1"/>
          <w:kern w:val="0"/>
          <w:sz w:val="24"/>
          <w:szCs w:val="24"/>
          <w14:textFill>
            <w14:solidFill>
              <w14:schemeClr w14:val="tx1"/>
            </w14:solidFill>
          </w14:textFill>
        </w:rPr>
        <w:t>亿美元，跨境电商综合试点开通进出口</w:t>
      </w:r>
      <w:r>
        <w:rPr>
          <w:rFonts w:hint="eastAsia" w:ascii="Times New Roman" w:hAnsi="Times New Roman" w:eastAsia="宋体" w:cs="Times New Roman"/>
          <w:color w:val="000000" w:themeColor="text1"/>
          <w:kern w:val="0"/>
          <w:sz w:val="24"/>
          <w:szCs w:val="24"/>
          <w14:textFill>
            <w14:solidFill>
              <w14:schemeClr w14:val="tx1"/>
            </w14:solidFill>
          </w14:textFill>
        </w:rPr>
        <w:t>B2C</w:t>
      </w:r>
      <w:r>
        <w:rPr>
          <w:rFonts w:hint="eastAsia" w:ascii="宋体" w:hAnsi="宋体" w:eastAsia="宋体" w:cs="宋体"/>
          <w:color w:val="000000" w:themeColor="text1"/>
          <w:kern w:val="0"/>
          <w:sz w:val="24"/>
          <w:szCs w:val="24"/>
          <w14:textFill>
            <w14:solidFill>
              <w14:schemeClr w14:val="tx1"/>
            </w14:solidFill>
          </w14:textFill>
        </w:rPr>
        <w:t>业务、完成</w:t>
      </w:r>
      <w:r>
        <w:rPr>
          <w:rFonts w:hint="eastAsia" w:ascii="Times New Roman" w:hAnsi="Times New Roman" w:eastAsia="宋体" w:cs="Times New Roman"/>
          <w:color w:val="000000" w:themeColor="text1"/>
          <w:kern w:val="0"/>
          <w:sz w:val="24"/>
          <w:szCs w:val="24"/>
          <w14:textFill>
            <w14:solidFill>
              <w14:schemeClr w14:val="tx1"/>
            </w14:solidFill>
          </w14:textFill>
        </w:rPr>
        <w:t>30万</w:t>
      </w:r>
      <w:r>
        <w:rPr>
          <w:rFonts w:hint="eastAsia" w:ascii="宋体" w:hAnsi="宋体" w:eastAsia="宋体" w:cs="宋体"/>
          <w:color w:val="000000" w:themeColor="text1"/>
          <w:kern w:val="0"/>
          <w:sz w:val="24"/>
          <w:szCs w:val="24"/>
          <w14:textFill>
            <w14:solidFill>
              <w14:schemeClr w14:val="tx1"/>
            </w14:solidFill>
          </w14:textFill>
        </w:rPr>
        <w:t>单，金霞保税店实现销售近</w:t>
      </w:r>
      <w:r>
        <w:rPr>
          <w:rFonts w:hint="eastAsia" w:ascii="Times New Roman" w:hAnsi="Times New Roman" w:eastAsia="宋体" w:cs="Times New Roman"/>
          <w:color w:val="000000" w:themeColor="text1"/>
          <w:kern w:val="0"/>
          <w:sz w:val="24"/>
          <w:szCs w:val="24"/>
          <w14:textFill>
            <w14:solidFill>
              <w14:schemeClr w14:val="tx1"/>
            </w14:solidFill>
          </w14:textFill>
        </w:rPr>
        <w:t>1</w:t>
      </w:r>
      <w:r>
        <w:rPr>
          <w:rFonts w:hint="eastAsia" w:ascii="宋体" w:hAnsi="宋体" w:eastAsia="宋体" w:cs="宋体"/>
          <w:color w:val="000000" w:themeColor="text1"/>
          <w:kern w:val="0"/>
          <w:sz w:val="24"/>
          <w:szCs w:val="24"/>
          <w14:textFill>
            <w14:solidFill>
              <w14:schemeClr w14:val="tx1"/>
            </w14:solidFill>
          </w14:textFill>
        </w:rPr>
        <w:t>亿元，园区成为推进“开放崛起”战略的主阵地和主攻点。</w:t>
      </w:r>
    </w:p>
    <w:p>
      <w:pPr>
        <w:widowControl/>
        <w:spacing w:line="360" w:lineRule="auto"/>
        <w:ind w:firstLine="480"/>
        <w:rPr>
          <w:rFonts w:ascii="宋体" w:hAnsi="宋体" w:eastAsia="宋体" w:cs="宋体"/>
          <w:color w:val="000000" w:themeColor="text1"/>
          <w:kern w:val="0"/>
          <w:sz w:val="24"/>
          <w:szCs w:val="24"/>
          <w14:textFill>
            <w14:solidFill>
              <w14:schemeClr w14:val="tx1"/>
            </w14:solidFill>
          </w14:textFill>
        </w:rPr>
      </w:pPr>
      <w:r>
        <w:rPr>
          <w:rFonts w:hint="eastAsia" w:ascii="Times New Roman" w:hAnsi="Times New Roman" w:eastAsia="宋体" w:cs="Times New Roman"/>
          <w:color w:val="000000" w:themeColor="text1"/>
          <w:kern w:val="0"/>
          <w:sz w:val="24"/>
          <w:szCs w:val="24"/>
          <w14:textFill>
            <w14:solidFill>
              <w14:schemeClr w14:val="tx1"/>
            </w14:solidFill>
          </w14:textFill>
        </w:rPr>
        <w:t>2017</w:t>
      </w:r>
      <w:r>
        <w:rPr>
          <w:rFonts w:hint="eastAsia" w:ascii="宋体" w:hAnsi="宋体" w:eastAsia="宋体" w:cs="宋体"/>
          <w:color w:val="000000" w:themeColor="text1"/>
          <w:kern w:val="0"/>
          <w:sz w:val="24"/>
          <w:szCs w:val="24"/>
          <w14:textFill>
            <w14:solidFill>
              <w14:schemeClr w14:val="tx1"/>
            </w14:solidFill>
          </w14:textFill>
        </w:rPr>
        <w:t>年将是金霞经开区“第三次创业”的元年，金霞经开区将全力推进“建设大城北，进位国家级”的奋斗目标，加速创建国家级经济开发区的进程</w:t>
      </w:r>
      <w:r>
        <w:rPr>
          <w:rFonts w:hint="eastAsia" w:ascii="Times New Roman" w:hAnsi="Times New Roman" w:eastAsia="宋体" w:cs="Times New Roman"/>
          <w:color w:val="000000" w:themeColor="text1"/>
          <w:kern w:val="0"/>
          <w:sz w:val="24"/>
          <w:szCs w:val="24"/>
          <w14:textFill>
            <w14:solidFill>
              <w14:schemeClr w14:val="tx1"/>
            </w14:solidFill>
          </w14:textFill>
        </w:rPr>
        <w:t>。2017</w:t>
      </w:r>
      <w:r>
        <w:rPr>
          <w:rFonts w:hint="eastAsia" w:ascii="宋体" w:hAnsi="宋体" w:eastAsia="宋体" w:cs="宋体"/>
          <w:color w:val="000000" w:themeColor="text1"/>
          <w:kern w:val="0"/>
          <w:sz w:val="24"/>
          <w:szCs w:val="24"/>
          <w14:textFill>
            <w14:solidFill>
              <w14:schemeClr w14:val="tx1"/>
            </w14:solidFill>
          </w14:textFill>
        </w:rPr>
        <w:t>年金霞经开区将力争实现财政收入增长</w:t>
      </w:r>
      <w:r>
        <w:rPr>
          <w:rFonts w:hint="eastAsia" w:ascii="Times New Roman" w:hAnsi="Times New Roman" w:eastAsia="宋体" w:cs="Times New Roman"/>
          <w:color w:val="000000" w:themeColor="text1"/>
          <w:kern w:val="0"/>
          <w:sz w:val="24"/>
          <w:szCs w:val="24"/>
          <w14:textFill>
            <w14:solidFill>
              <w14:schemeClr w14:val="tx1"/>
            </w14:solidFill>
          </w14:textFill>
        </w:rPr>
        <w:t>20%</w:t>
      </w:r>
      <w:r>
        <w:rPr>
          <w:rFonts w:hint="eastAsia" w:ascii="宋体" w:hAnsi="宋体" w:eastAsia="宋体" w:cs="宋体"/>
          <w:color w:val="000000" w:themeColor="text1"/>
          <w:kern w:val="0"/>
          <w:sz w:val="24"/>
          <w:szCs w:val="24"/>
          <w14:textFill>
            <w14:solidFill>
              <w14:schemeClr w14:val="tx1"/>
            </w14:solidFill>
          </w14:textFill>
        </w:rPr>
        <w:t>以上；规模工业总产值增</w:t>
      </w:r>
      <w:r>
        <w:rPr>
          <w:rFonts w:hint="eastAsia" w:ascii="Times New Roman" w:hAnsi="Times New Roman" w:eastAsia="宋体" w:cs="Times New Roman"/>
          <w:color w:val="000000" w:themeColor="text1"/>
          <w:kern w:val="0"/>
          <w:sz w:val="24"/>
          <w:szCs w:val="24"/>
          <w14:textFill>
            <w14:solidFill>
              <w14:schemeClr w14:val="tx1"/>
            </w14:solidFill>
          </w14:textFill>
        </w:rPr>
        <w:t>长10%以</w:t>
      </w:r>
      <w:r>
        <w:rPr>
          <w:rFonts w:hint="eastAsia" w:ascii="宋体" w:hAnsi="宋体" w:eastAsia="宋体" w:cs="宋体"/>
          <w:color w:val="000000" w:themeColor="text1"/>
          <w:kern w:val="0"/>
          <w:sz w:val="24"/>
          <w:szCs w:val="24"/>
          <w14:textFill>
            <w14:solidFill>
              <w14:schemeClr w14:val="tx1"/>
            </w14:solidFill>
          </w14:textFill>
        </w:rPr>
        <w:t>上，工业增加值增长</w:t>
      </w:r>
      <w:r>
        <w:rPr>
          <w:rFonts w:hint="eastAsia" w:ascii="Times New Roman" w:hAnsi="Times New Roman" w:eastAsia="宋体" w:cs="Times New Roman"/>
          <w:color w:val="000000" w:themeColor="text1"/>
          <w:kern w:val="0"/>
          <w:sz w:val="24"/>
          <w:szCs w:val="24"/>
          <w14:textFill>
            <w14:solidFill>
              <w14:schemeClr w14:val="tx1"/>
            </w14:solidFill>
          </w14:textFill>
        </w:rPr>
        <w:t>10%</w:t>
      </w:r>
      <w:r>
        <w:rPr>
          <w:rFonts w:hint="eastAsia" w:ascii="宋体" w:hAnsi="宋体" w:eastAsia="宋体" w:cs="宋体"/>
          <w:color w:val="000000" w:themeColor="text1"/>
          <w:kern w:val="0"/>
          <w:sz w:val="24"/>
          <w:szCs w:val="24"/>
          <w14:textFill>
            <w14:solidFill>
              <w14:schemeClr w14:val="tx1"/>
            </w14:solidFill>
          </w14:textFill>
        </w:rPr>
        <w:t>以上；固定资产投资增长</w:t>
      </w:r>
      <w:r>
        <w:rPr>
          <w:rFonts w:hint="eastAsia" w:ascii="Times New Roman" w:hAnsi="Times New Roman" w:eastAsia="宋体" w:cs="Times New Roman"/>
          <w:color w:val="000000" w:themeColor="text1"/>
          <w:kern w:val="0"/>
          <w:sz w:val="24"/>
          <w:szCs w:val="24"/>
          <w14:textFill>
            <w14:solidFill>
              <w14:schemeClr w14:val="tx1"/>
            </w14:solidFill>
          </w14:textFill>
        </w:rPr>
        <w:t>15%</w:t>
      </w:r>
      <w:r>
        <w:rPr>
          <w:rFonts w:hint="eastAsia" w:ascii="宋体" w:hAnsi="宋体" w:eastAsia="宋体" w:cs="宋体"/>
          <w:color w:val="000000" w:themeColor="text1"/>
          <w:kern w:val="0"/>
          <w:sz w:val="24"/>
          <w:szCs w:val="24"/>
          <w14:textFill>
            <w14:solidFill>
              <w14:schemeClr w14:val="tx1"/>
            </w14:solidFill>
          </w14:textFill>
        </w:rPr>
        <w:t>以上；社会物流总额增</w:t>
      </w:r>
      <w:r>
        <w:rPr>
          <w:rFonts w:hint="eastAsia" w:ascii="Times New Roman" w:hAnsi="Times New Roman" w:eastAsia="宋体" w:cs="Times New Roman"/>
          <w:color w:val="000000" w:themeColor="text1"/>
          <w:kern w:val="0"/>
          <w:sz w:val="24"/>
          <w:szCs w:val="24"/>
          <w14:textFill>
            <w14:solidFill>
              <w14:schemeClr w14:val="tx1"/>
            </w14:solidFill>
          </w14:textFill>
        </w:rPr>
        <w:t>长25%</w:t>
      </w:r>
      <w:r>
        <w:rPr>
          <w:rFonts w:hint="eastAsia" w:ascii="宋体" w:hAnsi="宋体" w:eastAsia="宋体" w:cs="宋体"/>
          <w:color w:val="000000" w:themeColor="text1"/>
          <w:kern w:val="0"/>
          <w:sz w:val="24"/>
          <w:szCs w:val="24"/>
          <w14:textFill>
            <w14:solidFill>
              <w14:schemeClr w14:val="tx1"/>
            </w14:solidFill>
          </w14:textFill>
        </w:rPr>
        <w:t>以上；流通业主营业务收入增长</w:t>
      </w:r>
      <w:r>
        <w:rPr>
          <w:rFonts w:hint="eastAsia" w:ascii="Times New Roman" w:hAnsi="Times New Roman" w:eastAsia="宋体" w:cs="Times New Roman"/>
          <w:color w:val="000000" w:themeColor="text1"/>
          <w:kern w:val="0"/>
          <w:sz w:val="24"/>
          <w:szCs w:val="24"/>
          <w14:textFill>
            <w14:solidFill>
              <w14:schemeClr w14:val="tx1"/>
            </w14:solidFill>
          </w14:textFill>
        </w:rPr>
        <w:t>15%</w:t>
      </w:r>
      <w:r>
        <w:rPr>
          <w:rFonts w:hint="eastAsia" w:ascii="宋体" w:hAnsi="宋体" w:eastAsia="宋体" w:cs="宋体"/>
          <w:color w:val="000000" w:themeColor="text1"/>
          <w:kern w:val="0"/>
          <w:sz w:val="24"/>
          <w:szCs w:val="24"/>
          <w14:textFill>
            <w14:solidFill>
              <w14:schemeClr w14:val="tx1"/>
            </w14:solidFill>
          </w14:textFill>
        </w:rPr>
        <w:t>以上；实际到位外资增长</w:t>
      </w:r>
      <w:r>
        <w:rPr>
          <w:rFonts w:hint="eastAsia" w:ascii="Times New Roman" w:hAnsi="Times New Roman" w:eastAsia="宋体" w:cs="Times New Roman"/>
          <w:color w:val="000000" w:themeColor="text1"/>
          <w:kern w:val="0"/>
          <w:sz w:val="24"/>
          <w:szCs w:val="24"/>
          <w14:textFill>
            <w14:solidFill>
              <w14:schemeClr w14:val="tx1"/>
            </w14:solidFill>
          </w14:textFill>
        </w:rPr>
        <w:t>20%</w:t>
      </w:r>
      <w:r>
        <w:rPr>
          <w:rFonts w:hint="eastAsia" w:ascii="宋体" w:hAnsi="宋体" w:eastAsia="宋体" w:cs="宋体"/>
          <w:color w:val="000000" w:themeColor="text1"/>
          <w:kern w:val="0"/>
          <w:sz w:val="24"/>
          <w:szCs w:val="24"/>
          <w14:textFill>
            <w14:solidFill>
              <w14:schemeClr w14:val="tx1"/>
            </w14:solidFill>
          </w14:textFill>
        </w:rPr>
        <w:t>以上</w:t>
      </w:r>
      <w:r>
        <w:rPr>
          <w:rFonts w:hint="eastAsia" w:ascii="楷体" w:hAnsi="楷体" w:eastAsia="楷体" w:cs="宋体"/>
          <w:color w:val="000000" w:themeColor="text1"/>
          <w:kern w:val="0"/>
          <w:sz w:val="24"/>
          <w:szCs w:val="24"/>
          <w14:textFill>
            <w14:solidFill>
              <w14:schemeClr w14:val="tx1"/>
            </w14:solidFill>
          </w14:textFill>
        </w:rPr>
        <w:t>（附录8）</w:t>
      </w:r>
      <w:r>
        <w:rPr>
          <w:rFonts w:hint="eastAsia" w:ascii="宋体" w:hAnsi="宋体" w:eastAsia="宋体" w:cs="宋体"/>
          <w:color w:val="000000" w:themeColor="text1"/>
          <w:kern w:val="0"/>
          <w:sz w:val="24"/>
          <w:szCs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pPr>
        <w:tabs>
          <w:tab w:val="left" w:pos="420"/>
        </w:tabs>
        <w:autoSpaceDE w:val="0"/>
        <w:autoSpaceDN w:val="0"/>
        <w:adjustRightInd w:val="0"/>
        <w:snapToGrid w:val="0"/>
        <w:spacing w:line="360" w:lineRule="auto"/>
        <w:jc w:val="left"/>
        <w:outlineLvl w:val="0"/>
        <w:rPr>
          <w:rFonts w:hint="eastAsia" w:ascii="黑体" w:hAnsi="黑体" w:eastAsia="黑体"/>
          <w:b/>
          <w:color w:val="000000" w:themeColor="text1"/>
          <w:sz w:val="32"/>
          <w:szCs w:val="32"/>
          <w14:textFill>
            <w14:solidFill>
              <w14:schemeClr w14:val="tx1"/>
            </w14:solidFill>
          </w14:textFill>
        </w:rPr>
      </w:pPr>
      <w:r>
        <w:rPr>
          <w:rFonts w:ascii="黑体" w:hAnsi="黑体" w:eastAsia="黑体"/>
          <w:b/>
          <w:color w:val="000000" w:themeColor="text1"/>
          <w:sz w:val="32"/>
          <w:szCs w:val="32"/>
          <w:lang w:val="zh-CN"/>
          <w14:textFill>
            <w14:solidFill>
              <w14:schemeClr w14:val="tx1"/>
            </w14:solidFill>
          </w14:textFill>
        </w:rPr>
        <w:t>案例</w:t>
      </w:r>
      <w:r>
        <w:rPr>
          <w:rFonts w:ascii="黑体" w:hAnsi="黑体" w:eastAsia="黑体"/>
          <w:b/>
          <w:color w:val="000000" w:themeColor="text1"/>
          <w:sz w:val="32"/>
          <w:szCs w:val="32"/>
          <w14:textFill>
            <w14:solidFill>
              <w14:schemeClr w14:val="tx1"/>
            </w14:solidFill>
          </w14:textFill>
        </w:rPr>
        <w:t>1</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before="157" w:beforeLines="50" w:after="469" w:afterLines="150" w:line="360" w:lineRule="auto"/>
        <w:ind w:left="0" w:leftChars="0" w:right="0" w:rightChars="0" w:firstLine="0" w:firstLineChars="0"/>
        <w:jc w:val="center"/>
        <w:textAlignment w:val="auto"/>
        <w:outlineLvl w:val="0"/>
        <w:rPr>
          <w:rFonts w:hint="default" w:ascii="黑体" w:hAnsi="黑体" w:eastAsia="黑体"/>
          <w:b/>
          <w:color w:val="000000" w:themeColor="text1"/>
          <w:sz w:val="36"/>
          <w:szCs w:val="36"/>
          <w:lang w:val="en-US" w:eastAsia="zh-CN"/>
          <w14:textFill>
            <w14:solidFill>
              <w14:schemeClr w14:val="tx1"/>
            </w14:solidFill>
          </w14:textFill>
        </w:rPr>
      </w:pPr>
      <w:r>
        <w:rPr>
          <w:rFonts w:hint="default" w:ascii="黑体" w:hAnsi="黑体" w:eastAsia="黑体"/>
          <w:b/>
          <w:color w:val="000000" w:themeColor="text1"/>
          <w:sz w:val="36"/>
          <w:szCs w:val="36"/>
          <w:lang w:val="en-US" w:eastAsia="zh-CN"/>
          <w14:textFill>
            <w14:solidFill>
              <w14:schemeClr w14:val="tx1"/>
            </w14:solidFill>
          </w14:textFill>
        </w:rPr>
        <w:t>打造</w:t>
      </w:r>
      <w:r>
        <w:rPr>
          <w:rFonts w:hint="eastAsia" w:ascii="黑体" w:hAnsi="黑体" w:eastAsia="黑体"/>
          <w:b/>
          <w:color w:val="000000" w:themeColor="text1"/>
          <w:sz w:val="36"/>
          <w:szCs w:val="36"/>
          <w:lang w:val="en-US" w:eastAsia="zh-CN"/>
          <w14:textFill>
            <w14:solidFill>
              <w14:schemeClr w14:val="tx1"/>
            </w14:solidFill>
          </w14:textFill>
        </w:rPr>
        <w:t>“</w:t>
      </w:r>
      <w:r>
        <w:rPr>
          <w:rFonts w:hint="default" w:ascii="黑体" w:hAnsi="黑体" w:eastAsia="黑体"/>
          <w:b/>
          <w:color w:val="000000" w:themeColor="text1"/>
          <w:sz w:val="36"/>
          <w:szCs w:val="36"/>
          <w:lang w:val="en-US" w:eastAsia="zh-CN"/>
          <w14:textFill>
            <w14:solidFill>
              <w14:schemeClr w14:val="tx1"/>
            </w14:solidFill>
          </w14:textFill>
        </w:rPr>
        <w:t>金霞物流谷</w:t>
      </w:r>
      <w:r>
        <w:rPr>
          <w:rFonts w:hint="eastAsia" w:ascii="黑体" w:hAnsi="黑体" w:eastAsia="黑体"/>
          <w:b/>
          <w:color w:val="000000" w:themeColor="text1"/>
          <w:sz w:val="36"/>
          <w:szCs w:val="36"/>
          <w:lang w:val="en-US" w:eastAsia="zh-CN"/>
          <w14:textFill>
            <w14:solidFill>
              <w14:schemeClr w14:val="tx1"/>
            </w14:solidFill>
          </w14:textFill>
        </w:rPr>
        <w:t>”、</w:t>
      </w:r>
      <w:r>
        <w:rPr>
          <w:rFonts w:hint="default" w:ascii="黑体" w:hAnsi="黑体" w:eastAsia="黑体"/>
          <w:b/>
          <w:color w:val="000000" w:themeColor="text1"/>
          <w:sz w:val="36"/>
          <w:szCs w:val="36"/>
          <w:lang w:val="en-US" w:eastAsia="zh-CN"/>
          <w14:textFill>
            <w14:solidFill>
              <w14:schemeClr w14:val="tx1"/>
            </w14:solidFill>
          </w14:textFill>
        </w:rPr>
        <w:t>筑梦</w:t>
      </w:r>
      <w:r>
        <w:rPr>
          <w:rFonts w:hint="eastAsia" w:ascii="黑体" w:hAnsi="黑体" w:eastAsia="黑体"/>
          <w:b/>
          <w:color w:val="000000" w:themeColor="text1"/>
          <w:sz w:val="36"/>
          <w:szCs w:val="36"/>
          <w:lang w:val="en-US" w:eastAsia="zh-CN"/>
          <w14:textFill>
            <w14:solidFill>
              <w14:schemeClr w14:val="tx1"/>
            </w14:solidFill>
          </w14:textFill>
        </w:rPr>
        <w:t>“</w:t>
      </w:r>
      <w:r>
        <w:rPr>
          <w:rFonts w:hint="default" w:ascii="黑体" w:hAnsi="黑体" w:eastAsia="黑体"/>
          <w:b/>
          <w:color w:val="000000" w:themeColor="text1"/>
          <w:sz w:val="36"/>
          <w:szCs w:val="36"/>
          <w:lang w:val="en-US" w:eastAsia="zh-CN"/>
          <w14:textFill>
            <w14:solidFill>
              <w14:schemeClr w14:val="tx1"/>
            </w14:solidFill>
          </w14:textFill>
        </w:rPr>
        <w:t>一带一路</w:t>
      </w:r>
      <w:r>
        <w:rPr>
          <w:rFonts w:hint="eastAsia" w:ascii="黑体" w:hAnsi="黑体" w:eastAsia="黑体"/>
          <w:b/>
          <w:color w:val="000000" w:themeColor="text1"/>
          <w:sz w:val="36"/>
          <w:szCs w:val="36"/>
          <w:lang w:val="en-US" w:eastAsia="zh-CN"/>
          <w14:textFill>
            <w14:solidFill>
              <w14:schemeClr w14:val="tx1"/>
            </w14:solidFill>
          </w14:textFill>
        </w:rPr>
        <w:t>”</w:t>
      </w:r>
    </w:p>
    <w:p>
      <w:pPr>
        <w:pStyle w:val="19"/>
        <w:shd w:val="clear" w:color="auto" w:fill="FFFFFF"/>
        <w:spacing w:before="0" w:beforeAutospacing="0" w:after="0" w:afterAutospacing="0" w:line="360" w:lineRule="auto"/>
        <w:ind w:firstLine="480" w:firstLineChars="200"/>
        <w:jc w:val="both"/>
        <w:rPr>
          <w:rFonts w:hint="default" w:ascii="Times New Roman" w:hAnsi="Times New Roman" w:cs="Times New Roman" w:eastAsiaTheme="minorEastAsia"/>
          <w:color w:val="000000" w:themeColor="text1"/>
          <w14:textFill>
            <w14:solidFill>
              <w14:schemeClr w14:val="tx1"/>
            </w14:solidFill>
          </w14:textFill>
        </w:rPr>
      </w:pPr>
      <w:r>
        <w:rPr>
          <w:rFonts w:hint="eastAsia" w:ascii="Times New Roman" w:hAnsi="Times New Roman" w:cs="Times New Roman" w:eastAsiaTheme="minorEastAsia"/>
          <w:color w:val="000000" w:themeColor="text1"/>
          <w:lang w:val="en-US" w:eastAsia="zh-CN"/>
          <w14:textFill>
            <w14:solidFill>
              <w14:schemeClr w14:val="tx1"/>
            </w14:solidFill>
          </w14:textFill>
        </w:rPr>
        <w:t>2017年</w:t>
      </w:r>
      <w:r>
        <w:rPr>
          <w:rFonts w:hint="default" w:ascii="Times New Roman" w:hAnsi="Times New Roman" w:cs="Times New Roman" w:eastAsiaTheme="minorEastAsia"/>
          <w:color w:val="000000" w:themeColor="text1"/>
          <w14:textFill>
            <w14:solidFill>
              <w14:schemeClr w14:val="tx1"/>
            </w14:solidFill>
          </w14:textFill>
        </w:rPr>
        <w:t>1月9日，长沙市两会政府工作报告让每一位市民感受到了城市稳步前进的脉搏，也提出了多维度对标国家中心城市、持续提升辐射带动力的系列目标。</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lang w:eastAsia="zh-CN"/>
          <w14:textFill>
            <w14:solidFill>
              <w14:schemeClr w14:val="tx1"/>
            </w14:solidFill>
          </w14:textFill>
        </w:rPr>
      </w:pPr>
      <w:r>
        <w:rPr>
          <w:rFonts w:hint="default" w:ascii="Times New Roman" w:hAnsi="Times New Roman" w:cs="Times New Roman" w:eastAsiaTheme="minorEastAsia"/>
          <w:color w:val="000000" w:themeColor="text1"/>
          <w14:textFill>
            <w14:solidFill>
              <w14:schemeClr w14:val="tx1"/>
            </w14:solidFill>
          </w14:textFill>
        </w:rPr>
        <w:t>物流园区不仅能帮助长沙释放</w:t>
      </w:r>
      <w:r>
        <w:rPr>
          <w:rFonts w:hint="eastAsia"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一带一部</w:t>
      </w:r>
      <w:r>
        <w:rPr>
          <w:rFonts w:hint="eastAsia" w:ascii="Times New Roman" w:hAnsi="Times New Roman"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首位城市的区位优势，更是响应湖南开放崛起战略的动力引擎。两会期间，长沙市第十五届人大代表、开福区委常委、</w:t>
      </w:r>
      <w:bookmarkStart w:id="3" w:name="OLE_LINK1"/>
      <w:r>
        <w:rPr>
          <w:rFonts w:hint="default" w:ascii="Times New Roman" w:hAnsi="Times New Roman" w:cs="Times New Roman" w:eastAsiaTheme="minorEastAsia"/>
          <w:color w:val="000000" w:themeColor="text1"/>
          <w14:textFill>
            <w14:solidFill>
              <w14:schemeClr w14:val="tx1"/>
            </w14:solidFill>
          </w14:textFill>
        </w:rPr>
        <w:t>金霞经开区党工委书记杨应龙接受红网时刻新闻记者专访</w:t>
      </w:r>
      <w:bookmarkEnd w:id="3"/>
      <w:r>
        <w:rPr>
          <w:rFonts w:hint="eastAsia" w:ascii="Times New Roman" w:hAnsi="Times New Roman" w:cs="Times New Roman" w:eastAsiaTheme="minorEastAsia"/>
          <w:color w:val="000000" w:themeColor="text1"/>
          <w:lang w:eastAsia="zh-CN"/>
          <w14:textFill>
            <w14:solidFill>
              <w14:schemeClr w14:val="tx1"/>
            </w14:solidFill>
          </w14:textFill>
        </w:rPr>
        <w:t>时</w:t>
      </w:r>
      <w:r>
        <w:rPr>
          <w:rFonts w:hint="default" w:ascii="Times New Roman" w:hAnsi="Times New Roman" w:cs="Times New Roman" w:eastAsiaTheme="minorEastAsia"/>
          <w:color w:val="000000" w:themeColor="text1"/>
          <w14:textFill>
            <w14:solidFill>
              <w14:schemeClr w14:val="tx1"/>
            </w14:solidFill>
          </w14:textFill>
        </w:rPr>
        <w:t>，</w:t>
      </w:r>
      <w:r>
        <w:rPr>
          <w:rFonts w:hint="eastAsia" w:ascii="Times New Roman" w:hAnsi="Times New Roman" w:cs="Times New Roman" w:eastAsiaTheme="minorEastAsia"/>
          <w:color w:val="000000" w:themeColor="text1"/>
          <w:lang w:eastAsia="zh-CN"/>
          <w14:textFill>
            <w14:solidFill>
              <w14:schemeClr w14:val="tx1"/>
            </w14:solidFill>
          </w14:textFill>
        </w:rPr>
        <w:t>建言长沙对标国家中心城市打造“金霞物流谷”，建设影响力更大的湖南对外开放桥头堡。</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一）长沙市委市政府多次强调“园区兴则长沙兴、园区强则长沙强”，现代物流园区应当为城市发展提供坚实支撑。金霞经开区已建成长沙铁路货运新北站一期、长沙新港一二期、长沙成品油输油管道，启动了新北站二期、新港三期及由传化公路港、深国际、嘉里物流三大项目组成的公路物流枢纽港建设，成为湖南唯一一家拥有水、陆、空、铁、管五元化交通物流体系的综合性现代物流园区，并已获批为全国首批示范物流园区。在完善现代交通物流体系、逐步建成内陆开放新高地这些具体任务中找到发力点并积极展开探索。</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二）在长沙，湖南湘江新区与东部开放走廊“双轮驱动”格局初显，事实上金霞经开区已经在东部开放经济走廊乃至湖南整个外向型经济中发挥着不可替代的作用。金霞经开区目前占到了全湖南口岸区域通关单量的40%。建成了金霞保税物流中心、跨境电子商务服务试点、金霞口岸联检大厅、长沙电子口岸等开放平台，长沙铁路货运新北站开通了“五定班列”和至德国杜伊斯堡、俄罗斯莫斯科、乌兹别克斯坦塔什干的“中欧班列”，长沙新港开通了至上海港的“五定班轮”和7条国际集装箱内支运输线、数十条国际航线，从线上、线下；水上、陆上全面打通了对外开放的大通道。</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三）随着现代物流园区成型，我们的产业培育路线也愈发清晰，特色化的产业集群在城北加速崛起。目前入驻企业有703家，其中世界500强18家，聚集了中石化、统一、中民筑友、传化集团、香江集团、国药控股、湘粮集团等知名企业，形成了钢铁、粮食、能源、医药等“百亿级”产业集群，园区的医药企业流通总量占全省的三分之一。2016年，园区完成了财政收入18亿元，其中税收12.33亿元，同比增长17.99%；规模工业总产值（含商贸流通）465.47亿元，同比增长4.9%；商贸流通业实现社会物流总额1426.52亿元，同比增长28.53%。</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四）建设“金霞物流谷”，首先要进一步坚定“建设大城北，进位国家级”的奋斗目标，主动担负振兴产业发展的重任，精准实施产业倍增计划。下一步我们将推动医药物流实现翻番，力争医药物流产值达到400亿元；推动建筑产业升级发展，力争装配式建筑产值新增100亿元；推动出口加工做大规模；规划建设军民融合产业园，推动军民融合产业落地。其次是以“物流谷”和开放平台建设为抓手，推动平台扩容提质，打造东部开放型走廊桥头堡，助力国家交通物流中心建设。再次是加快长沙新港三期、长沙铁路货运新北站二期、公路物流枢纽港（传化、深国际、嘉里）建设，启动金霞保税物流中心二期建设，促进多港互动、多式联运；大力支持“中欧班列”增量、提速、降成本、密集稳定运行并推动跨境电商规模化发展；加快跨境产贸城建设，加速保税店地州市分中心的建设进程，启动中部进出口商品二期建设，打造“湖南名优特商品出口馆”。随着交通物流企业向“金霞物流谷”聚集和交通配套设施的完善，之后可以搭建全市的现代物流综合信息平台，引导制造业、商贸业企业与现代物流企业融合发展。</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据介绍，</w:t>
      </w:r>
      <w:r>
        <w:rPr>
          <w:rFonts w:hint="eastAsia" w:ascii="Times New Roman" w:hAnsi="Times New Roman" w:cs="Times New Roman"/>
          <w:color w:val="000000" w:themeColor="text1"/>
          <w:sz w:val="24"/>
          <w:szCs w:val="24"/>
          <w:lang w:eastAsia="zh-CN"/>
          <w14:textFill>
            <w14:solidFill>
              <w14:schemeClr w14:val="tx1"/>
            </w14:solidFill>
          </w14:textFill>
        </w:rPr>
        <w:t>金霞物流谷</w:t>
      </w:r>
      <w:r>
        <w:rPr>
          <w:rFonts w:hint="default" w:ascii="Times New Roman" w:hAnsi="Times New Roman" w:cs="Times New Roman"/>
          <w:color w:val="000000" w:themeColor="text1"/>
          <w:sz w:val="24"/>
          <w:szCs w:val="24"/>
          <w14:textFill>
            <w14:solidFill>
              <w14:schemeClr w14:val="tx1"/>
            </w14:solidFill>
          </w14:textFill>
        </w:rPr>
        <w:t>今后将进一步融入国家</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一带一路</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战略布局和</w:t>
      </w:r>
      <w:r>
        <w:rPr>
          <w:rFonts w:hint="eastAsia" w:ascii="Times New Roman" w:hAnsi="Times New Roman" w:cs="Times New Roman"/>
          <w:color w:val="000000" w:themeColor="text1"/>
          <w:sz w:val="24"/>
          <w:szCs w:val="24"/>
          <w:lang w:eastAsia="zh-CN"/>
          <w14:textFill>
            <w14:solidFill>
              <w14:schemeClr w14:val="tx1"/>
            </w14:solidFill>
          </w14:textFill>
        </w:rPr>
        <w:t>湖南</w:t>
      </w:r>
      <w:r>
        <w:rPr>
          <w:rFonts w:hint="default" w:ascii="Times New Roman" w:hAnsi="Times New Roman" w:cs="Times New Roman"/>
          <w:color w:val="000000" w:themeColor="text1"/>
          <w:sz w:val="24"/>
          <w:szCs w:val="24"/>
          <w14:textFill>
            <w14:solidFill>
              <w14:schemeClr w14:val="tx1"/>
            </w14:solidFill>
          </w14:textFill>
        </w:rPr>
        <w:t>开放型经济发展新格局，加强与</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一带一路</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沿线国家商贸流通合作，不断开辟新兴战略市场，建设实力型、品质型、开放型、创新型、智慧型的</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五型</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园区</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实现园区所有平台的无缝对接，全面打造国家级现代物流中心、国家级商品集散中心和湖南省对外开放高地。</w:t>
      </w:r>
      <w:r>
        <w:rPr>
          <w:rFonts w:hint="eastAsia" w:ascii="Times New Roman" w:hAnsi="Times New Roman" w:cs="Times New Roman"/>
          <w:color w:val="000000" w:themeColor="text1"/>
          <w:sz w:val="24"/>
          <w:szCs w:val="24"/>
          <w:lang w:eastAsia="zh-CN"/>
          <w14:textFill>
            <w14:solidFill>
              <w14:schemeClr w14:val="tx1"/>
            </w14:solidFill>
          </w14:textFill>
        </w:rPr>
        <w:t>因此，</w:t>
      </w:r>
      <w:r>
        <w:rPr>
          <w:rFonts w:hint="default" w:ascii="Times New Roman" w:hAnsi="Times New Roman" w:cs="Times New Roman"/>
          <w:color w:val="000000" w:themeColor="text1"/>
          <w:sz w:val="24"/>
          <w:szCs w:val="24"/>
          <w14:textFill>
            <w14:solidFill>
              <w14:schemeClr w14:val="tx1"/>
            </w14:solidFill>
          </w14:textFill>
        </w:rPr>
        <w:t>在</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一带一路</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倡议带动下，科技是第一生产力，如何促进园区产业提档提标和转型升级？如何以技术的进步为驱动，不断增强企业发展的后劲力？</w:t>
      </w:r>
      <w:r>
        <w:rPr>
          <w:rFonts w:hint="eastAsia" w:ascii="Times New Roman" w:hAnsi="Times New Roman" w:cs="Times New Roman"/>
          <w:color w:val="000000" w:themeColor="text1"/>
          <w:sz w:val="24"/>
          <w:szCs w:val="24"/>
          <w:lang w:eastAsia="zh-CN"/>
          <w14:textFill>
            <w14:solidFill>
              <w14:schemeClr w14:val="tx1"/>
            </w14:solidFill>
          </w14:textFill>
        </w:rPr>
        <w:t>如何提高园区的规划、建设和管理水平，发挥园区示范引领作用？</w:t>
      </w:r>
      <w:r>
        <w:rPr>
          <w:rFonts w:hint="default" w:ascii="Times New Roman" w:hAnsi="Times New Roman" w:cs="Times New Roman"/>
          <w:color w:val="000000" w:themeColor="text1"/>
          <w:sz w:val="24"/>
          <w:szCs w:val="24"/>
          <w14:textFill>
            <w14:solidFill>
              <w14:schemeClr w14:val="tx1"/>
            </w14:solidFill>
          </w14:textFill>
        </w:rPr>
        <w:t>如何利用</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互联网+</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技术，实现现有资源的互利互通，提高服务效率</w:t>
      </w:r>
      <w:r>
        <w:rPr>
          <w:rFonts w:hint="eastAsia" w:ascii="Times New Roman" w:hAnsi="Times New Roman" w:cs="Times New Roman"/>
          <w:color w:val="000000" w:themeColor="text1"/>
          <w:sz w:val="24"/>
          <w:szCs w:val="24"/>
          <w:lang w:eastAsia="zh-CN"/>
          <w14:textFill>
            <w14:solidFill>
              <w14:schemeClr w14:val="tx1"/>
            </w14:solidFill>
          </w14:textFill>
        </w:rPr>
        <w:t>？如何在“一带一路”背景下推进产学研合作</w:t>
      </w:r>
      <w:r>
        <w:rPr>
          <w:rFonts w:hint="default" w:ascii="Times New Roman" w:hAnsi="Times New Roman" w:cs="Times New Roman"/>
          <w:color w:val="000000" w:themeColor="text1"/>
          <w:sz w:val="24"/>
          <w:szCs w:val="24"/>
          <w14:textFill>
            <w14:solidFill>
              <w14:schemeClr w14:val="tx1"/>
            </w14:solidFill>
          </w14:textFill>
        </w:rPr>
        <w:t>。都是我们深深思索的问题。</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p>
    <w:p>
      <w:pPr>
        <w:spacing w:line="360" w:lineRule="auto"/>
        <w:rPr>
          <w:color w:val="000000" w:themeColor="text1"/>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br w:type="page"/>
      </w:r>
    </w:p>
    <w:p>
      <w:pPr>
        <w:tabs>
          <w:tab w:val="left" w:pos="420"/>
        </w:tabs>
        <w:autoSpaceDE w:val="0"/>
        <w:autoSpaceDN w:val="0"/>
        <w:adjustRightInd w:val="0"/>
        <w:snapToGrid w:val="0"/>
        <w:spacing w:line="360" w:lineRule="auto"/>
        <w:jc w:val="left"/>
        <w:outlineLvl w:val="0"/>
        <w:rPr>
          <w:rFonts w:hint="eastAsia"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 xml:space="preserve">案例2 </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before="157" w:beforeLines="50" w:after="469" w:afterLines="150" w:line="360" w:lineRule="auto"/>
        <w:ind w:left="0" w:leftChars="0" w:right="0" w:rightChars="0" w:firstLine="0" w:firstLineChars="0"/>
        <w:jc w:val="center"/>
        <w:textAlignment w:val="auto"/>
        <w:outlineLvl w:val="0"/>
        <w:rPr>
          <w:rFonts w:hint="default" w:ascii="黑体" w:hAnsi="黑体" w:eastAsia="黑体"/>
          <w:b/>
          <w:color w:val="000000" w:themeColor="text1"/>
          <w:sz w:val="36"/>
          <w:szCs w:val="36"/>
          <w:lang w:val="zh-CN" w:eastAsia="zh-CN"/>
          <w14:textFill>
            <w14:solidFill>
              <w14:schemeClr w14:val="tx1"/>
            </w14:solidFill>
          </w14:textFill>
        </w:rPr>
      </w:pPr>
      <w:r>
        <w:rPr>
          <w:rFonts w:hint="eastAsia" w:ascii="黑体" w:hAnsi="黑体" w:eastAsia="黑体"/>
          <w:b/>
          <w:color w:val="000000" w:themeColor="text1"/>
          <w:sz w:val="36"/>
          <w:szCs w:val="36"/>
          <w:lang w:val="en-US" w:eastAsia="zh-CN"/>
          <w14:textFill>
            <w14:solidFill>
              <w14:schemeClr w14:val="tx1"/>
            </w14:solidFill>
          </w14:textFill>
        </w:rPr>
        <w:t xml:space="preserve"> </w:t>
      </w:r>
      <w:r>
        <w:rPr>
          <w:rFonts w:hint="eastAsia" w:ascii="黑体" w:hAnsi="黑体" w:eastAsia="黑体"/>
          <w:b/>
          <w:color w:val="000000" w:themeColor="text1"/>
          <w:sz w:val="36"/>
          <w:szCs w:val="36"/>
          <w:lang w:val="zh-CN" w:eastAsia="zh-CN"/>
          <w14:textFill>
            <w14:solidFill>
              <w14:schemeClr w14:val="tx1"/>
            </w14:solidFill>
          </w14:textFill>
        </w:rPr>
        <w:t>小潘的烦恼：为何快线不快</w:t>
      </w:r>
    </w:p>
    <w:p>
      <w:pPr>
        <w:pStyle w:val="19"/>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60" w:lineRule="auto"/>
        <w:ind w:left="0" w:leftChars="0" w:right="0" w:rightChars="0" w:firstLine="480" w:firstLineChars="200"/>
        <w:jc w:val="both"/>
        <w:textAlignment w:val="auto"/>
        <w:outlineLvl w:val="9"/>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潘2010毕业于xx学校物流专业，毕业后十分顺利地进入了一家跨境电商企业，成为了一名业务员。小潘在大学时期经常外出兼职，做一些销售方面的工作，如销售房地产、电动车之类的，所以对谈业务方面颇有经验。之后几个月，小潘利用自己大学时期“实战”经验，结合自己的物流专业知识，迅速投入了这份工作，并且保持着优良的工作状态，业绩一直处于稳步上升阶段，工资也是水涨船高。</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之后半年里，小潘踏实努力做事，在业绩方面超出同时段业务员一大截，加之他的人际关系方面也处理得当，不到一年，就被破格提升成为了业务经理。作为企业的业务经理，小潘的任务变重了，不仅要负责与客户进行对接，处理业务方面的等等后续问题，还要管理自己手下的业务员。</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而在2010年入职的小潘，如今也可以算是公司的元老级别人物了， 成为业务经理后，他还是一直尊崇企业精神：团结、奋进、务实、高效。工作方面积极上进，保持着不菲的成绩，与上司下属的关系也处理得当，人缘颇好，可以说，自进入公司以来一直过得十分顺利。可是，这世上并没有一帆风顺的事情，小潘最近就碰到了不少麻烦事，令他不免有些心烦意燥。</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前段时间，小潘刚刚谈妥了一单大的业务订单，是帮国内一家手工制品的企业将成品销向欧洲那边的一家首饰专卖店，手工制首饰虽然小，但价格不菲，因此，完成出口这批货物的订单，将会得到不菲的收益，小潘心里正想着说不准能够通过这笔订单获得升职加薪的机会，可事情运作却不如人意。原来是物流上出现了问题，这家手工制品企业在合约上有一个附加条件，由于这是一笔加急订单，一再要求小潘保证最晚17天到达，小潘郑重地答应委托方，因</w:t>
      </w:r>
      <w:r>
        <w:rPr>
          <w:rFonts w:hint="eastAsia" w:ascii="Times New Roman" w:hAnsi="Times New Roman" w:cs="Times New Roman" w:eastAsiaTheme="minorEastAsia"/>
          <w:color w:val="000000" w:themeColor="text1"/>
          <w:kern w:val="2"/>
          <w:lang w:eastAsia="zh-CN"/>
          <w14:textFill>
            <w14:solidFill>
              <w14:schemeClr w14:val="tx1"/>
            </w14:solidFill>
          </w14:textFill>
        </w:rPr>
        <w:t>为</w:t>
      </w:r>
      <w:r>
        <w:rPr>
          <w:rFonts w:hint="eastAsia" w:ascii="Times New Roman" w:hAnsi="Times New Roman" w:cs="Times New Roman" w:eastAsiaTheme="minorEastAsia"/>
          <w:color w:val="000000" w:themeColor="text1"/>
          <w:kern w:val="2"/>
          <w14:textFill>
            <w14:solidFill>
              <w14:schemeClr w14:val="tx1"/>
            </w14:solidFill>
          </w14:textFill>
        </w:rPr>
        <w:t>他也知道加急订单的违约后果是十分严重的。</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潘接下了这笔订单之后，立马就想到了曾经的一位合作伙伴——湖南湘欧快线物流有限公司，他曾与湘欧快线合作过不少次，小潘想起自己第一次与湘欧快线愉快的合作经历，就觉得湘欧快线是个十分不错的选择。</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时间回溯到2015年，小潘接到了一笔急单，如果走海运的话，价格低但是一般抵达需要半个月时间，如果是通过空运运输，成本高而且在旺季、需求大的时候，空运的时间也需要20天左右，跟利用铁路的时间</w:t>
      </w:r>
      <w:r>
        <w:rPr>
          <w:rFonts w:hint="eastAsia" w:ascii="Times New Roman" w:hAnsi="Times New Roman" w:cs="Times New Roman" w:eastAsiaTheme="minorEastAsia"/>
          <w:color w:val="000000" w:themeColor="text1"/>
          <w:kern w:val="2"/>
          <w:lang w:eastAsia="zh-CN"/>
          <w14:textFill>
            <w14:solidFill>
              <w14:schemeClr w14:val="tx1"/>
            </w14:solidFill>
          </w14:textFill>
        </w:rPr>
        <w:t>差不多</w:t>
      </w:r>
      <w:r>
        <w:rPr>
          <w:rFonts w:hint="eastAsia" w:ascii="Times New Roman" w:hAnsi="Times New Roman" w:cs="Times New Roman" w:eastAsiaTheme="minorEastAsia"/>
          <w:color w:val="000000" w:themeColor="text1"/>
          <w:kern w:val="2"/>
          <w14:textFill>
            <w14:solidFill>
              <w14:schemeClr w14:val="tx1"/>
            </w14:solidFill>
          </w14:textFill>
        </w:rPr>
        <w:t>，所以当初也没有考虑空运，假如因为时间的关系违约了，需要交6万欧元的罚金。</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正当小潘为了选择而焦虑的时候，他突然想起了自己的大学同学——小肖。小肖是小潘在大学时期很要好的同学，也是自己曾经经历过挫折之后一起彻夜谈心的室友，毕业之后虽然不在一个公司，但是一直还保持着联系。小潘记得小肖毕业之后找到了一个专业对口的工作，他所在的“湘欧快线”公司是中欧国际货运班列的联盟成员，还记得小肖曾经和自己说过，商品进出口的速度都挺快的。于是，小潘联系了小肖，了解了实际情况之后，毅然决然地选择了当时刚刚兴起的湘欧快线。结果令他十分满意，货物抵达欧洲的时间不过15天，价格也适中。小潘认为当初做的选择很正确，令自己圆满地完成了任务。但是因为近期接手的订单对时间的要求并没有那么严格，再考虑到成本问题，一般都选用海运而没有选择湘欧快线。</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于是小潘这回再次选择了湘欧快线，因为时间关系，并且十分信任湘欧快线的服务的缘故，直接和那边的业务经理签了合约。可是万万没想到的是，如今，这么信任的合作伙伴却出了差错。</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原本按照订单的约定，是要求这批货最晚17天到达欧洲，结果过了17天还没能到达客户手中。于是，这个企业投诉到了小潘这里，催促小潘这边快速跟进物流情况，小潘心里无奈，只好打电话催促湘欧快线公司这边的业务经理，湘欧快线的经理一边赔不是一边保证第二天能够抵达欧洲。结果第二天还没能够到达，委托人那边再次打电话投诉小潘，小潘也深感无力，只能再次投诉到湘欧快线公司的业务部门。时间一天天地流逝，小潘在被投诉了好几次之后，成品总算是达到了目的地，可是最终的到达时间离约定时间已然过了6天了。这批货物是欧洲首饰专卖店那方急切想拿到的，作为今年的新品发售。结果，现在手工制品的企业违约了，交了一大笔的罚金，造成了很大的损失。小潘现在真的是内心很无奈，这个物流问题影响到了自己公司的业务情况，也给小潘这个业务经理造成了巨大地烦恼，现在的情况根本无法满足客户对时间的要求，事已至此，客户也没有其他办法，只能对他这个业务经理进行投诉。</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潘觉得这笔订单不仅没能给自己的生活锦上添花，还给了自己带来了很多压力，他现在真是焦头烂额，因为自己还接了不少急单，如果这个物流问题处理不好，谈了再大笔的订单也是犹如鸡肋，只会使客户总体满意度越来越低，最终严重影响到小潘的年末绩效考评，小潘觉得这个锅不能仅仅让自己一个人背。于是，小潘决定把问题投诉到湘欧快线的业务经理，并找好同学了解一下湘欧快线的具体情况。</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终于，一个风和日丽的中午，他邀请了小肖一起吃饭，酒过三巡之际，小潘借着这个好机会，向小肖说起了最近自己这个工作真是愁云惨淡，把自己最近这个频繁被投诉的经历向老同学一番倾述，小肖听完之后也是一脸无奈，眉头紧锁，正色说道：“我明白你的苦楚，可是这个物流问题还真不是一时半会儿能够轻而易举解决的。”之后小肖给小潘说明了一下现今这个情况，随着公司经营运作规模愈渐扩大，最近这湘欧快线也收到了很多投诉。小潘这是立刻明白过来了，现在这是快线不快啊！</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原来，湘欧快线湖南有限公司由于是湖南唯一的一家中欧铁路，位于在长沙市的金霞开发区内，是十分有优势的，很多做跨境贸易、跨境电商的一些企业也十分愿意和公司进行合作。那些做外贸的企业很注重时间与速度，而湘欧快线作为物流服务商，需要做好的是服务，而最主要的服务就是帮选择湘欧快线的客户抢时间，湘欧快线的特色就是要比海运快，又因为考虑到成本和运载量的问题，大多数客户会选择铁路这个介于空运和航运之间的服务。现在企业面临的最主要的问题有不少，说到这里的时候，小肖一时沉默，后来继续说道：“现在我们公司最大的问题不是没有业务，而是抵达时间的问题。”</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小潘点头称道：“这个我知道，就是因为这个速度太慢了，我损失了一个顾客呢！不过现在速度上比起以前变动到达多大？”</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小肖回答道：“在没有我们</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湘欧快线’之前，很多企业想要从沿海地区运输货物到欧洲的基本港一般都要通过海运，海运的时间控制在25天到30天左右，时效性很差。自我们公司正式运营开始，我们带给了客户不一样的体验，我们能够做到在15天至19天的时间内将货物运送到目的地，而且一般靠近下限的时间，差不多15到16天就能抵达欧洲。然而，现在通过湘欧快线的铁路的话，因为英国的问题，到欧洲那边需要的时间也要到20天，客户的体验感比起以前差了很多，自然这个服务就无法跟上了。”</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小潘听完吃了一惊，说道：“那这个时间与海运差别就不大了，但是费用贵了这么多，客户铁定是不满意的啊。那除了时间问题，你们公司还有别的问题是吗？”</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肖点了点头，回答道：“对的，这第二个问题就是空返问题，因为有贸易的顺差逆差的关系，现在企业面临的情况是中国出去的货物多，回来的货物少。回来和出去的比例大概在1:3的格局。而如今，集装箱过去了，回不来。集装箱回不来了，我们的成本就大了，而且与之相对应的麻烦也会不断地出现。还有车板缺少的问题，因为火车和船不一样，火车的话是每一个集装箱对应一个车板，没有车板的话，集装箱就放不上去，不仅会面临车板增长的问题，而且会面临后增长缺车板的问题。”</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听到这里，小潘十分吃惊，由于大学学的是物流专业，他大致猜到了湘欧快线在某些方面遇到的的瓶颈，现在才知道，湘欧快线的物流还存在着很大的问题，这是需要很大的成本去解决的。这么看来，这小肖的烦恼也不比自己的少。不过，小潘对货物抵达速度变慢的现况仍有很多的疑惑。</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小潘问道：“像这种状况以前并没有啊，从前抵达时间不一直在15天左右吗？如今怎么延迟到了20多天去了？你们调查过是什么原因造成的了吗？”</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对于这一点，小肖就更是无奈了。他叹了一口气，说道：“这也只是从前罢了，但是如今这样，一碗饭总不能喂饱三个人啊！你也知道，湘欧快线有着同行比不上的优势，越来越多的客户选择我们，业务量是一直往上涨。但是这铁路没有一直增加啊，承载量也更不可能往上涨了。这真的是让我们心有余而力不足啊。”</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小潘若有所思的点点头，说：“就没想过什么解决办法吗？”</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小肖答道</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国家政府层面也在想办法，但这事没这么容易解决。湘欧快线只是中欧班列在南部的一个公司，还有郑新欧班列、义新欧班列、苏满欧班列等等，但是无论哪个班列，想要走北线到欧洲去，最后都汇集到同一条线路。铁路又稀缺又不能随时就建成，就这么一条，只能排队了。”</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小肖又说：“湘欧快线虽然受到了</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一带一路’战略的支持，在长沙海关有着很大的优势，很大程度上简化了办事手续和流程，清关速度比之从前快了不少。可是仍然存在有的时候手续繁琐的问题。”</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小肖说完之后，双方都陷入了长期的沉默，他们各自有各自的烦恼，可是这个湘欧物流到底要怎么办呢？看来想要湘欧快线变回“快线”，前方还有很多问题在等着他们解决呢。</w:t>
      </w:r>
    </w:p>
    <w:p>
      <w:pPr>
        <w:spacing w:line="360" w:lineRule="auto"/>
        <w:ind w:firstLine="480" w:firstLineChars="200"/>
        <w:rPr>
          <w:color w:val="000000" w:themeColor="text1"/>
          <w:sz w:val="24"/>
          <w14:textFill>
            <w14:solidFill>
              <w14:schemeClr w14:val="tx1"/>
            </w14:solidFill>
          </w14:textFill>
        </w:rPr>
      </w:pPr>
    </w:p>
    <w:p>
      <w:pPr>
        <w:pStyle w:val="19"/>
        <w:shd w:val="clear" w:color="auto" w:fill="FFFFFF"/>
        <w:spacing w:before="0" w:beforeAutospacing="0" w:after="0" w:afterAutospacing="0"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br w:type="page"/>
      </w:r>
    </w:p>
    <w:p>
      <w:pPr>
        <w:tabs>
          <w:tab w:val="left" w:pos="420"/>
        </w:tabs>
        <w:autoSpaceDE w:val="0"/>
        <w:autoSpaceDN w:val="0"/>
        <w:adjustRightInd w:val="0"/>
        <w:snapToGrid w:val="0"/>
        <w:spacing w:line="360" w:lineRule="auto"/>
        <w:jc w:val="left"/>
        <w:outlineLvl w:val="0"/>
        <w:rPr>
          <w:rFonts w:hint="eastAsia"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 xml:space="preserve">案例3 </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before="157" w:beforeLines="50" w:after="469" w:afterLines="150" w:line="360" w:lineRule="auto"/>
        <w:ind w:left="0" w:leftChars="0" w:right="0" w:rightChars="0" w:firstLine="0" w:firstLineChars="0"/>
        <w:jc w:val="center"/>
        <w:textAlignment w:val="auto"/>
        <w:outlineLvl w:val="0"/>
        <w:rPr>
          <w:rFonts w:hint="default" w:ascii="黑体" w:hAnsi="黑体" w:eastAsia="黑体"/>
          <w:b/>
          <w:color w:val="000000" w:themeColor="text1"/>
          <w:sz w:val="36"/>
          <w:szCs w:val="36"/>
          <w:lang w:val="en-US" w:eastAsia="zh-CN"/>
          <w14:textFill>
            <w14:solidFill>
              <w14:schemeClr w14:val="tx1"/>
            </w14:solidFill>
          </w14:textFill>
        </w:rPr>
      </w:pPr>
      <w:r>
        <w:rPr>
          <w:rFonts w:hint="eastAsia" w:ascii="黑体" w:hAnsi="黑体" w:eastAsia="黑体"/>
          <w:b/>
          <w:color w:val="000000" w:themeColor="text1"/>
          <w:sz w:val="36"/>
          <w:szCs w:val="36"/>
          <w:lang w:val="en-US" w:eastAsia="zh-CN"/>
          <w14:textFill>
            <w14:solidFill>
              <w14:schemeClr w14:val="tx1"/>
            </w14:solidFill>
          </w14:textFill>
        </w:rPr>
        <w:t xml:space="preserve"> 医药物流</w:t>
      </w:r>
      <w:r>
        <w:rPr>
          <w:rFonts w:hint="eastAsia" w:ascii="黑体" w:hAnsi="黑体" w:eastAsia="黑体"/>
          <w:b/>
          <w:color w:val="000000" w:themeColor="text1"/>
          <w:sz w:val="36"/>
          <w:szCs w:val="36"/>
          <w:lang w:val="en-US" w:eastAsia="zh-CN"/>
          <w14:textFill>
            <w14:solidFill>
              <w14:schemeClr w14:val="tx1"/>
            </w14:solidFill>
          </w14:textFill>
        </w:rPr>
        <w:softHyphen/>
      </w:r>
      <w:r>
        <w:rPr>
          <w:rFonts w:hint="eastAsia" w:ascii="黑体" w:hAnsi="黑体" w:eastAsia="黑体"/>
          <w:b/>
          <w:color w:val="000000" w:themeColor="text1"/>
          <w:sz w:val="36"/>
          <w:szCs w:val="36"/>
          <w:lang w:val="en-US" w:eastAsia="zh-CN"/>
          <w14:textFill>
            <w14:solidFill>
              <w14:schemeClr w14:val="tx1"/>
            </w14:solidFill>
          </w14:textFill>
        </w:rPr>
        <w:t>——路在何方</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 xml:space="preserve">5月5日下午，在长沙医药健康产业园区内举行了一次行业内部的沙龙会议。园区内部的胡总和魏经理来主持会议，以及部分医药公司的核心人物，还有学校的老师和学生。学校这边作为湖南省第二届物流比赛的主办方，了解医药物流发展的状况，为物流比赛提供案例素材。各个企业的核心领导人汇聚在此，主要目的是一起探讨医药公司现在遇到的问题，以及未来的发展规划。 </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园区内的胡总首先谈到：“医药公司大部分是从客户接过订单，然后指派给第三方物流。但有小部分企业是订单较少，跳过第三方物流，直接和专线合作。第三方物流通过资源和货物，再把货物进行转运，通过末端配送的方式运到客户手上。”</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这边园区内的魏经理就第三方物流存在的问题说道：“</w:t>
      </w:r>
      <w:r>
        <w:rPr>
          <w:rFonts w:hint="eastAsia" w:ascii="Times New Roman" w:hAnsi="Times New Roman" w:cs="Times New Roman" w:eastAsiaTheme="minorEastAsia"/>
          <w:color w:val="000000" w:themeColor="text1"/>
          <w:kern w:val="2"/>
          <w:lang w:eastAsia="zh-CN"/>
          <w14:textFill>
            <w14:solidFill>
              <w14:schemeClr w14:val="tx1"/>
            </w14:solidFill>
          </w14:textFill>
        </w:rPr>
        <w:t>一是</w:t>
      </w:r>
      <w:r>
        <w:rPr>
          <w:rFonts w:hint="eastAsia" w:ascii="Times New Roman" w:hAnsi="Times New Roman" w:cs="Times New Roman" w:eastAsiaTheme="minorEastAsia"/>
          <w:color w:val="000000" w:themeColor="text1"/>
          <w:kern w:val="2"/>
          <w14:textFill>
            <w14:solidFill>
              <w14:schemeClr w14:val="tx1"/>
            </w14:solidFill>
          </w14:textFill>
        </w:rPr>
        <w:t>缺乏监控体系，货物托送给第三方物流，没办法保证货物质量不受损伤，也不能保证第三方物流对货物存储环境达到优良。严重导致货物受损，到最后不能补救时才发现。而索赔问题，常常拖延，使双方都缺乏长期合作的信心。</w:t>
      </w:r>
      <w:r>
        <w:rPr>
          <w:rFonts w:hint="eastAsia" w:ascii="Times New Roman" w:hAnsi="Times New Roman" w:cs="Times New Roman" w:eastAsiaTheme="minorEastAsia"/>
          <w:color w:val="000000" w:themeColor="text1"/>
          <w:kern w:val="2"/>
          <w:lang w:eastAsia="zh-CN"/>
          <w14:textFill>
            <w14:solidFill>
              <w14:schemeClr w14:val="tx1"/>
            </w14:solidFill>
          </w14:textFill>
        </w:rPr>
        <w:t>二是</w:t>
      </w:r>
      <w:r>
        <w:rPr>
          <w:rFonts w:hint="eastAsia" w:ascii="Times New Roman" w:hAnsi="Times New Roman" w:cs="Times New Roman" w:eastAsiaTheme="minorEastAsia"/>
          <w:color w:val="000000" w:themeColor="text1"/>
          <w:kern w:val="2"/>
          <w14:textFill>
            <w14:solidFill>
              <w14:schemeClr w14:val="tx1"/>
            </w14:solidFill>
          </w14:textFill>
        </w:rPr>
        <w:t>第三方物流没有专有的配送运输，导致物流服务质量下降。</w:t>
      </w:r>
      <w:r>
        <w:rPr>
          <w:rFonts w:hint="eastAsia" w:ascii="Times New Roman" w:hAnsi="Times New Roman" w:cs="Times New Roman" w:eastAsiaTheme="minorEastAsia"/>
          <w:color w:val="000000" w:themeColor="text1"/>
          <w:kern w:val="2"/>
          <w:lang w:eastAsia="zh-CN"/>
          <w14:textFill>
            <w14:solidFill>
              <w14:schemeClr w14:val="tx1"/>
            </w14:solidFill>
          </w14:textFill>
        </w:rPr>
        <w:t>三是</w:t>
      </w:r>
      <w:r>
        <w:rPr>
          <w:rFonts w:hint="eastAsia" w:ascii="Times New Roman" w:hAnsi="Times New Roman" w:cs="Times New Roman" w:eastAsiaTheme="minorEastAsia"/>
          <w:color w:val="000000" w:themeColor="text1"/>
          <w:kern w:val="2"/>
          <w14:textFill>
            <w14:solidFill>
              <w14:schemeClr w14:val="tx1"/>
            </w14:solidFill>
          </w14:textFill>
        </w:rPr>
        <w:t>终端配送，客户只有上午上班收货，下午则不收货，不能准时化配送。</w:t>
      </w:r>
      <w:r>
        <w:rPr>
          <w:rFonts w:hint="eastAsia" w:ascii="Times New Roman" w:hAnsi="Times New Roman" w:cs="Times New Roman" w:eastAsiaTheme="minorEastAsia"/>
          <w:color w:val="000000" w:themeColor="text1"/>
          <w:kern w:val="2"/>
          <w:lang w:eastAsia="zh-CN"/>
          <w14:textFill>
            <w14:solidFill>
              <w14:schemeClr w14:val="tx1"/>
            </w14:solidFill>
          </w14:textFill>
        </w:rPr>
        <w:t>四是</w:t>
      </w:r>
      <w:r>
        <w:rPr>
          <w:rFonts w:hint="eastAsia" w:ascii="Times New Roman" w:hAnsi="Times New Roman" w:cs="Times New Roman" w:eastAsiaTheme="minorEastAsia"/>
          <w:color w:val="000000" w:themeColor="text1"/>
          <w:kern w:val="2"/>
          <w14:textFill>
            <w14:solidFill>
              <w14:schemeClr w14:val="tx1"/>
            </w14:solidFill>
          </w14:textFill>
        </w:rPr>
        <w:t>辅助工具不能及时回收，如冷链中的保温箱和托盘等，回收时间长，而产品使用期内要进行检测，增加了成本的投入。</w:t>
      </w:r>
      <w:r>
        <w:rPr>
          <w:rFonts w:hint="eastAsia" w:ascii="Times New Roman" w:hAnsi="Times New Roman" w:cs="Times New Roman" w:eastAsiaTheme="minorEastAsia"/>
          <w:color w:val="000000" w:themeColor="text1"/>
          <w:kern w:val="2"/>
          <w:lang w:eastAsia="zh-CN"/>
          <w14:textFill>
            <w14:solidFill>
              <w14:schemeClr w14:val="tx1"/>
            </w14:solidFill>
          </w14:textFill>
        </w:rPr>
        <w:t>五是</w:t>
      </w:r>
      <w:r>
        <w:rPr>
          <w:rFonts w:hint="eastAsia" w:ascii="Times New Roman" w:hAnsi="Times New Roman" w:cs="Times New Roman" w:eastAsiaTheme="minorEastAsia"/>
          <w:color w:val="000000" w:themeColor="text1"/>
          <w:kern w:val="2"/>
          <w14:textFill>
            <w14:solidFill>
              <w14:schemeClr w14:val="tx1"/>
            </w14:solidFill>
          </w14:textFill>
        </w:rPr>
        <w:t>整个行业没有整体标准，导致很多第三方物流公司都存在这样的问题，使医药公司</w:t>
      </w:r>
      <w:r>
        <w:rPr>
          <w:rFonts w:hint="eastAsia" w:ascii="Times New Roman" w:hAnsi="Times New Roman" w:cs="Times New Roman" w:eastAsiaTheme="minorEastAsia"/>
          <w:color w:val="000000" w:themeColor="text1"/>
          <w:kern w:val="2"/>
          <w:lang w:eastAsia="zh-CN"/>
          <w14:textFill>
            <w14:solidFill>
              <w14:schemeClr w14:val="tx1"/>
            </w14:solidFill>
          </w14:textFill>
        </w:rPr>
        <w:t>只有</w:t>
      </w:r>
      <w:r>
        <w:rPr>
          <w:rFonts w:hint="eastAsia" w:ascii="Times New Roman" w:hAnsi="Times New Roman" w:cs="Times New Roman" w:eastAsiaTheme="minorEastAsia"/>
          <w:color w:val="000000" w:themeColor="text1"/>
          <w:kern w:val="2"/>
          <w14:textFill>
            <w14:solidFill>
              <w14:schemeClr w14:val="tx1"/>
            </w14:solidFill>
          </w14:textFill>
        </w:rPr>
        <w:t>通过自营物流才能减少这些问题出现。”</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胡总又接着说道：“我给大家举个例子说下，这个第三方物流没有末端配送存在的弊端。我们的主管业务的经理，接到订单之后，把物流外包给第三方企业，然后第三方物流</w:t>
      </w:r>
      <w:r>
        <w:rPr>
          <w:rFonts w:hint="eastAsia" w:ascii="Times New Roman" w:hAnsi="Times New Roman" w:cs="Times New Roman" w:eastAsiaTheme="minorEastAsia"/>
          <w:color w:val="000000" w:themeColor="text1"/>
          <w:kern w:val="2"/>
          <w:lang w:eastAsia="zh-CN"/>
          <w14:textFill>
            <w14:solidFill>
              <w14:schemeClr w14:val="tx1"/>
            </w14:solidFill>
          </w14:textFill>
        </w:rPr>
        <w:t>再</w:t>
      </w:r>
      <w:r>
        <w:rPr>
          <w:rFonts w:hint="eastAsia" w:ascii="Times New Roman" w:hAnsi="Times New Roman" w:cs="Times New Roman" w:eastAsiaTheme="minorEastAsia"/>
          <w:color w:val="000000" w:themeColor="text1"/>
          <w:kern w:val="2"/>
          <w14:textFill>
            <w14:solidFill>
              <w14:schemeClr w14:val="tx1"/>
            </w14:solidFill>
          </w14:textFill>
        </w:rPr>
        <w:t>找其他‘熟悉’的人员进行配送。当客户在偏远地区，我们如果要查货或者是需要回执单时，往往会经历各种各样繁琐的步骤才能得到准确的消息。还有一个最大的弊端是没法跟踪货物的状态，无法得到合理有效地理赔，往往理赔时间跨度大。所以第三方物流这个环节其实是很尴尬的。那么我们现在要怎么办？医药公司在药品和医疗器械这个流通环节中的一个链条，也属于‘第三方物流’。因为药品不是自己企业生产的，也要控制成本，企业的利润空间较小。”</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湖南省盛事华人物流项目经理不急不缓的说道：“我是从北京调职过来的，我们北京是华人供应链，在这个医药行业里发展了十</w:t>
      </w:r>
      <w:r>
        <w:rPr>
          <w:rFonts w:hint="eastAsia" w:ascii="Times New Roman" w:hAnsi="Times New Roman" w:cs="Times New Roman" w:eastAsiaTheme="minorEastAsia"/>
          <w:color w:val="000000" w:themeColor="text1"/>
          <w:kern w:val="2"/>
          <w:lang w:eastAsia="zh-CN"/>
          <w14:textFill>
            <w14:solidFill>
              <w14:schemeClr w14:val="tx1"/>
            </w14:solidFill>
          </w14:textFill>
        </w:rPr>
        <w:t>多</w:t>
      </w:r>
      <w:r>
        <w:rPr>
          <w:rFonts w:hint="eastAsia" w:ascii="Times New Roman" w:hAnsi="Times New Roman" w:cs="Times New Roman" w:eastAsiaTheme="minorEastAsia"/>
          <w:color w:val="000000" w:themeColor="text1"/>
          <w:kern w:val="2"/>
          <w14:textFill>
            <w14:solidFill>
              <w14:schemeClr w14:val="tx1"/>
            </w14:solidFill>
          </w14:textFill>
        </w:rPr>
        <w:t>年。一直</w:t>
      </w:r>
      <w:r>
        <w:rPr>
          <w:rFonts w:hint="eastAsia" w:ascii="Times New Roman" w:hAnsi="Times New Roman" w:cs="Times New Roman" w:eastAsiaTheme="minorEastAsia"/>
          <w:color w:val="000000" w:themeColor="text1"/>
          <w:kern w:val="2"/>
          <w:lang w:eastAsia="zh-CN"/>
          <w14:textFill>
            <w14:solidFill>
              <w14:schemeClr w14:val="tx1"/>
            </w14:solidFill>
          </w14:textFill>
        </w:rPr>
        <w:t>做</w:t>
      </w:r>
      <w:r>
        <w:rPr>
          <w:rFonts w:hint="eastAsia" w:ascii="Times New Roman" w:hAnsi="Times New Roman" w:cs="Times New Roman" w:eastAsiaTheme="minorEastAsia"/>
          <w:color w:val="000000" w:themeColor="text1"/>
          <w:kern w:val="2"/>
          <w14:textFill>
            <w14:solidFill>
              <w14:schemeClr w14:val="tx1"/>
            </w14:solidFill>
          </w14:textFill>
        </w:rPr>
        <w:t>着在世界上高端的生产企业，包括经营企业。做的非常成功，但是在湖南这边做了三年，这三年发展不是很好，所以公司派我来这边监管。我虽然在物流行业有十几年的经验，但是在湖南这边，我还是个新人。听了前面魏经理的介绍，我深有感触，我大部分时间都是在做调研，我去了五个地级市，而且</w:t>
      </w:r>
      <w:r>
        <w:rPr>
          <w:rFonts w:hint="eastAsia" w:ascii="Times New Roman" w:hAnsi="Times New Roman" w:cs="Times New Roman" w:eastAsiaTheme="minorEastAsia"/>
          <w:color w:val="000000" w:themeColor="text1"/>
          <w:kern w:val="2"/>
          <w:lang w:eastAsia="zh-CN"/>
          <w14:textFill>
            <w14:solidFill>
              <w14:schemeClr w14:val="tx1"/>
            </w14:solidFill>
          </w14:textFill>
        </w:rPr>
        <w:t>也</w:t>
      </w:r>
      <w:r>
        <w:rPr>
          <w:rFonts w:hint="eastAsia" w:ascii="Times New Roman" w:hAnsi="Times New Roman" w:cs="Times New Roman" w:eastAsiaTheme="minorEastAsia"/>
          <w:color w:val="000000" w:themeColor="text1"/>
          <w:kern w:val="2"/>
          <w14:textFill>
            <w14:solidFill>
              <w14:schemeClr w14:val="tx1"/>
            </w14:solidFill>
          </w14:textFill>
        </w:rPr>
        <w:t>去了很多医院。发现了一些很重中的问题：</w:t>
      </w:r>
      <w:r>
        <w:rPr>
          <w:rFonts w:hint="eastAsia" w:ascii="Times New Roman" w:hAnsi="Times New Roman" w:cs="Times New Roman" w:eastAsiaTheme="minorEastAsia"/>
          <w:color w:val="000000" w:themeColor="text1"/>
          <w:kern w:val="2"/>
          <w:lang w:eastAsia="zh-CN"/>
          <w14:textFill>
            <w14:solidFill>
              <w14:schemeClr w14:val="tx1"/>
            </w14:solidFill>
          </w14:textFill>
        </w:rPr>
        <w:t>一是</w:t>
      </w:r>
      <w:r>
        <w:rPr>
          <w:rFonts w:hint="eastAsia" w:ascii="Times New Roman" w:hAnsi="Times New Roman" w:cs="Times New Roman" w:eastAsiaTheme="minorEastAsia"/>
          <w:color w:val="000000" w:themeColor="text1"/>
          <w:kern w:val="2"/>
          <w14:textFill>
            <w14:solidFill>
              <w14:schemeClr w14:val="tx1"/>
            </w14:solidFill>
          </w14:textFill>
        </w:rPr>
        <w:t>物流运输中装卸搬运次数多，造成的成本多、货物破损多、时效性</w:t>
      </w:r>
      <w:r>
        <w:rPr>
          <w:rFonts w:hint="eastAsia" w:ascii="Times New Roman" w:hAnsi="Times New Roman" w:cs="Times New Roman" w:eastAsiaTheme="minorEastAsia"/>
          <w:color w:val="000000" w:themeColor="text1"/>
          <w:kern w:val="2"/>
          <w:lang w:eastAsia="zh-CN"/>
          <w14:textFill>
            <w14:solidFill>
              <w14:schemeClr w14:val="tx1"/>
            </w14:solidFill>
          </w14:textFill>
        </w:rPr>
        <w:t>不够</w:t>
      </w:r>
      <w:r>
        <w:rPr>
          <w:rFonts w:hint="eastAsia" w:ascii="Times New Roman" w:hAnsi="Times New Roman" w:cs="Times New Roman" w:eastAsiaTheme="minorEastAsia"/>
          <w:color w:val="000000" w:themeColor="text1"/>
          <w:kern w:val="2"/>
          <w14:textFill>
            <w14:solidFill>
              <w14:schemeClr w14:val="tx1"/>
            </w14:solidFill>
          </w14:textFill>
        </w:rPr>
        <w:t>等问题</w:t>
      </w:r>
      <w:r>
        <w:rPr>
          <w:rFonts w:hint="eastAsia" w:ascii="Times New Roman" w:hAnsi="Times New Roman" w:cs="Times New Roman" w:eastAsiaTheme="minorEastAsia"/>
          <w:color w:val="000000" w:themeColor="text1"/>
          <w:kern w:val="2"/>
          <w:lang w:eastAsia="zh-CN"/>
          <w14:textFill>
            <w14:solidFill>
              <w14:schemeClr w14:val="tx1"/>
            </w14:solidFill>
          </w14:textFill>
        </w:rPr>
        <w:t>。二是</w:t>
      </w:r>
      <w:r>
        <w:rPr>
          <w:rFonts w:hint="eastAsia" w:ascii="Times New Roman" w:hAnsi="Times New Roman" w:cs="Times New Roman" w:eastAsiaTheme="minorEastAsia"/>
          <w:color w:val="000000" w:themeColor="text1"/>
          <w:kern w:val="2"/>
          <w14:textFill>
            <w14:solidFill>
              <w14:schemeClr w14:val="tx1"/>
            </w14:solidFill>
          </w14:textFill>
        </w:rPr>
        <w:t>服务意识的问题，从装上车到送货给客户，工作时间较长，员工的服务态度和薪酬不成正比。从业人员对货物没有基本的保护意识，导致破损率相当的高。所以我</w:t>
      </w:r>
      <w:r>
        <w:rPr>
          <w:rFonts w:hint="eastAsia" w:ascii="Times New Roman" w:hAnsi="Times New Roman" w:cs="Times New Roman" w:eastAsiaTheme="minorEastAsia"/>
          <w:color w:val="000000" w:themeColor="text1"/>
          <w:kern w:val="2"/>
          <w:lang w:eastAsia="zh-CN"/>
          <w14:textFill>
            <w14:solidFill>
              <w14:schemeClr w14:val="tx1"/>
            </w14:solidFill>
          </w14:textFill>
        </w:rPr>
        <w:t>正</w:t>
      </w:r>
      <w:r>
        <w:rPr>
          <w:rFonts w:hint="eastAsia" w:ascii="Times New Roman" w:hAnsi="Times New Roman" w:cs="Times New Roman" w:eastAsiaTheme="minorEastAsia"/>
          <w:color w:val="000000" w:themeColor="text1"/>
          <w:kern w:val="2"/>
          <w14:textFill>
            <w14:solidFill>
              <w14:schemeClr w14:val="tx1"/>
            </w14:solidFill>
          </w14:textFill>
        </w:rPr>
        <w:t>在做综合方案</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一个固定模板，一个这样子的企业就适合这样子的方案，我就推荐给你。但是这样的方案我做起来的话会到六月底。所以在六月底整套的方案都会出台，至少保证我们园区的医药人的问题，我不敢说在今年内把所有的问题和想法都实现，但是至少可以提升服务</w:t>
      </w:r>
      <w:r>
        <w:rPr>
          <w:rFonts w:hint="eastAsia" w:ascii="Times New Roman" w:hAnsi="Times New Roman" w:cs="Times New Roman" w:eastAsiaTheme="minorEastAsia"/>
          <w:color w:val="000000" w:themeColor="text1"/>
          <w:kern w:val="2"/>
          <w:lang w:eastAsia="zh-CN"/>
          <w14:textFill>
            <w14:solidFill>
              <w14:schemeClr w14:val="tx1"/>
            </w14:solidFill>
          </w14:textFill>
        </w:rPr>
        <w:t>水平</w:t>
      </w:r>
      <w:r>
        <w:rPr>
          <w:rFonts w:hint="eastAsia" w:ascii="Times New Roman" w:hAnsi="Times New Roman" w:cs="Times New Roman" w:eastAsiaTheme="minorEastAsia"/>
          <w:color w:val="000000" w:themeColor="text1"/>
          <w:kern w:val="2"/>
          <w14:textFill>
            <w14:solidFill>
              <w14:schemeClr w14:val="tx1"/>
            </w14:solidFill>
          </w14:textFill>
        </w:rPr>
        <w:t>。”</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魏经理又提出了自己的担忧：“如果不使用第三方物流，我们采用全新的模式——自营物流，存在三个弊端：一是如何提升车辆的利用率；二是怎样达到国家运输GSP的标准；三是运输成本占总成本的比率问题。”</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另一边湖南康天医药公司的执行总监，早就在摩拳擦掌了：“我们公司在医药行业混了几十年，现在物流的这种模式很不适应我们医药行业的需求。现有的物流行业根本就没有达到国家规定的要求。药品的生产企业要严格按照要求，从生产环节到仓储环节，最后到药品出厂运到经营公司。规定要求输出过程要用箱式车或者用篷布盖着，很多第三方物流就是敞着，很不规范。这个情况我们最近也在探讨，这个怎么保证人民的健康用药，怎么能够达到国家的对我们的企业的要求？南方的温度这么高，你用箱式车，闷在里面温度更高，人民的用药质量不到保障。这个点出的是很好。如果国家能够在这方面进行立法，这是对人民健康用药的很明智的一种做法。但是最后1公里的问题一直没有得到重视，</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20</w:t>
      </w:r>
      <w:r>
        <w:rPr>
          <w:rFonts w:hint="eastAsia" w:ascii="Times New Roman" w:hAnsi="Times New Roman" w:cs="Times New Roman" w:eastAsiaTheme="minorEastAsia"/>
          <w:color w:val="000000" w:themeColor="text1"/>
          <w:kern w:val="2"/>
          <w14:textFill>
            <w14:solidFill>
              <w14:schemeClr w14:val="tx1"/>
            </w14:solidFill>
          </w14:textFill>
        </w:rPr>
        <w:t>16年的山东疫苗事件给我们这个行业的敲响了警钟。很多物流公司没有对货物的监控系统，对药物进行分类运输，按照标准的冷藏车和冷链车来运输，保证药品的质量。医药健康产业园的建设，既是朝阳产业，也是民生工程。既是规范行业的行政行为，也是政策给力的经济行为。我们应该好好思考怎么按照国家标准的GSP要求，去更好的为人民的健康去服务。”</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湖南鸿安医药有限公司的储运部负责人刘总就冷链物流说道：“说起温度控制的问题，不得不说目前市面上的冷链物流做的都不规范，没有达到快速规范的要求。时效较慢，运输条件基本不能达到GSP的标准。”</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魏总回答：“康天医药讲的这个现象，是我们医药物流普遍存在的现象，而控制箱式车内温度，这个成本是非常大的，投入和产出比需要我们认真思考。我们可以用温控车，设计一个监控系统解决这个问题。如果我们的物流联盟成立，APP能够帮助我们达到控制温度的目的。5月8-10号国家全国人大药品管理法的药业组来长沙的6个单位调研，而金霞是其中最大的一个主体。调研过程中要把药品管理法全部的条款进行修订，</w:t>
      </w:r>
      <w:r>
        <w:rPr>
          <w:rFonts w:hint="eastAsia" w:ascii="Times New Roman" w:hAnsi="Times New Roman" w:cs="Times New Roman" w:eastAsiaTheme="minorEastAsia"/>
          <w:color w:val="000000" w:themeColor="text1"/>
          <w:kern w:val="2"/>
          <w:lang w:eastAsia="zh-CN"/>
          <w14:textFill>
            <w14:solidFill>
              <w14:schemeClr w14:val="tx1"/>
            </w14:solidFill>
          </w14:textFill>
        </w:rPr>
        <w:t>对</w:t>
      </w:r>
      <w:r>
        <w:rPr>
          <w:rFonts w:hint="eastAsia" w:ascii="Times New Roman" w:hAnsi="Times New Roman" w:cs="Times New Roman" w:eastAsiaTheme="minorEastAsia"/>
          <w:color w:val="000000" w:themeColor="text1"/>
          <w:kern w:val="2"/>
          <w14:textFill>
            <w14:solidFill>
              <w14:schemeClr w14:val="tx1"/>
            </w14:solidFill>
          </w14:textFill>
        </w:rPr>
        <w:t>GSP的条款和里面跟我们药品管理法中有冲突的地方进行修订。这次政府调研也是给我们医药物流发展提供了新的契机。”</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 xml:space="preserve">湖南金沙药业公司配送部门的李总就运输与配送的问题说道：“就康天医药说的运输问题，我觉得不能单单怪第三方物流，主要是国家层面的法律问题没有落到实处。由于药物是一种特殊性的货物，对运输条件和温度都极其严格的标准。但是药监局只能管医药公司进货渠道等问题，并不能管第三方物流的运输问题。” </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w:t>
      </w:r>
    </w:p>
    <w:p>
      <w:pPr>
        <w:pStyle w:val="19"/>
        <w:shd w:val="clear" w:color="auto" w:fill="FFFFFF"/>
        <w:spacing w:before="0" w:beforeAutospacing="0" w:after="0" w:afterAutospacing="0" w:line="360" w:lineRule="auto"/>
        <w:ind w:firstLine="480" w:firstLineChars="200"/>
        <w:jc w:val="both"/>
        <w:rPr>
          <w:rFonts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经过一个下午的探讨，会议终于开完了，大家对建设物流联盟还是有期待性的，也对未来充满期望，但是很多物流公司普遍存在问题还是没有解决。无论物流联盟是否能成功成立，我们都应该认真思考医药行业未来发展路在何方？</w:t>
      </w:r>
    </w:p>
    <w:p>
      <w:pPr>
        <w:pStyle w:val="19"/>
        <w:shd w:val="clear" w:color="auto" w:fill="FFFFFF"/>
        <w:spacing w:before="0" w:beforeAutospacing="0" w:after="0" w:afterAutospacing="0"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br w:type="page"/>
      </w:r>
    </w:p>
    <w:p>
      <w:pPr>
        <w:tabs>
          <w:tab w:val="left" w:pos="420"/>
        </w:tabs>
        <w:autoSpaceDE w:val="0"/>
        <w:autoSpaceDN w:val="0"/>
        <w:adjustRightInd w:val="0"/>
        <w:snapToGrid w:val="0"/>
        <w:spacing w:line="360" w:lineRule="auto"/>
        <w:jc w:val="left"/>
        <w:outlineLvl w:val="0"/>
        <w:rPr>
          <w:rFonts w:hint="eastAsia"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 xml:space="preserve">案例4  </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before="157" w:beforeLines="50" w:after="469" w:afterLines="150" w:line="360" w:lineRule="auto"/>
        <w:ind w:left="0" w:leftChars="0" w:right="0" w:rightChars="0" w:firstLine="0" w:firstLineChars="0"/>
        <w:jc w:val="center"/>
        <w:textAlignment w:val="auto"/>
        <w:outlineLvl w:val="0"/>
        <w:rPr>
          <w:rFonts w:hint="default" w:ascii="黑体" w:hAnsi="黑体" w:eastAsia="黑体"/>
          <w:b/>
          <w:color w:val="000000" w:themeColor="text1"/>
          <w:sz w:val="36"/>
          <w:szCs w:val="36"/>
          <w:lang w:val="en-US" w:eastAsia="zh-CN"/>
          <w14:textFill>
            <w14:solidFill>
              <w14:schemeClr w14:val="tx1"/>
            </w14:solidFill>
          </w14:textFill>
        </w:rPr>
      </w:pPr>
      <w:r>
        <w:rPr>
          <w:rFonts w:hint="eastAsia" w:ascii="黑体" w:hAnsi="黑体" w:eastAsia="黑体"/>
          <w:b/>
          <w:color w:val="000000" w:themeColor="text1"/>
          <w:sz w:val="36"/>
          <w:szCs w:val="36"/>
          <w:lang w:val="en-US" w:eastAsia="zh-CN"/>
          <w14:textFill>
            <w14:solidFill>
              <w14:schemeClr w14:val="tx1"/>
            </w14:solidFill>
          </w14:textFill>
        </w:rPr>
        <w:t>新医改下国药控股湖南公司供应链管理的思考</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国药控股湖南有限公司是中国医药集团旗下国药控股有限公司在湖南</w:t>
      </w:r>
      <w:r>
        <w:rPr>
          <w:rFonts w:hint="eastAsia" w:ascii="Times New Roman" w:hAnsi="Times New Roman" w:cs="Times New Roman" w:eastAsiaTheme="minorEastAsia"/>
          <w:color w:val="000000" w:themeColor="text1"/>
          <w:kern w:val="2"/>
          <w:lang w:eastAsia="zh-CN"/>
          <w14:textFill>
            <w14:solidFill>
              <w14:schemeClr w14:val="tx1"/>
            </w14:solidFill>
          </w14:textFill>
        </w:rPr>
        <w:t>的</w:t>
      </w:r>
      <w:r>
        <w:rPr>
          <w:rFonts w:hint="eastAsia" w:ascii="Times New Roman" w:hAnsi="Times New Roman" w:cs="Times New Roman" w:eastAsiaTheme="minorEastAsia"/>
          <w:color w:val="000000" w:themeColor="text1"/>
          <w:kern w:val="2"/>
          <w14:textFill>
            <w14:solidFill>
              <w14:schemeClr w14:val="tx1"/>
            </w14:solidFill>
          </w14:textFill>
        </w:rPr>
        <w:t>唯一子公司。中国医药集团属中央国资委直属大型央企，总公司以“关爱生命，呵护健康”为理念</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 xml:space="preserve">以健康为使命；以药品分销为核心；完成供应链集成服务并迅速提升区域竞争力，成为国内品牌最优、门类齐、网络全、成长快、实力强，具有国际竞争力的大型医药集团性企业。 </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国药控股湖南有限公司公司依托中国医药集团总公司的强大平台，立足湖南医药市场，对质量跟踪、人事管理、业务营销、财务预算管理、采购管理、物流配送管理等各方面进行科学的、有效的管理。公司以客户为核心，以品种为支柱，重点以发展医院纯销业务为主，市场调拨业务为辅，形成了一个强大的</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极具渗透力的销售网络。覆盖湖南省各地市三甲、长沙市二甲医院，覆盖率100%。</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国药控股湖南公司作为湖南医药销售品牌最具影响的公司之一。拥有一支年轻的</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充满活力的</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 xml:space="preserve">专业化的销售队伍。公司与国内外近百家知名医药企业建立了长期战略合作伙伴关系，使之成为行业优良品种增值交易的平台，并提供全方位的服务。公司拥有符合GSP标准的仓库近4000平方米。依靠先进的、科学的计算机管理系统进行管理，实行24小时紧急配送。公司为湖南首批通过GSP认证企业。严格执行GSP管理流程，并于2007年通过ISO9001认证。 </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公司秉承国药控股的品牌与资源，网络优势，已成为湖南医药行业的领头羊。然而随着物流行业的竞争日益激烈，市场需求的瞬息万变，客户要求的不断提高，公司高层管理人员也感觉到未来的隐忧。</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隐忧一：顺丰入局医药物流， 医药配送企业或将洗牌</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最近一段时间，不少医药流通企业的同行发现，顺丰速递正在各地加大力度布局医药商业，医药配送大战看起来一触即发。实际上，顺丰对医药物流市场的“野心”早就深埋已久。早在2014年3月，顺丰便单独成立了医药物流事业部</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两年后，顺丰正式成立了“冷运事业部”，分离医药冷链和生鲜冷链资源。记者在顺丰速运官网上看到，目前提供的医药服务包括医药常温、医药温控、医药商配、顺丰医药零担、医药专车和医药仓储六部分内容。</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顺丰速运一位不愿具名的内部人士对记者透露，医药物流的业务内容直接向总部汇报，目前华南区域的冷链仓库还未投入使用，“在等验收了，还没开放。”</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湖南省医药流通行业协会秘书长黄先生说，从湖南市场的情况看，顺丰确实“挖”了一两名医药物流方面的负责人过去，中小规模的商业公司比较紧张。在他看来，顺丰无论在运输速度、营业网点还是物流处理能力上，都比很多药商和第三方医药物流强，更重要的是顺丰进入医药会颠覆原来的商业模式。商业公司和分销商的原有模式肯定会有变化，尤其是会加速中小规模的企业洗牌。</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 顺丰等第三方物流介入后，可利用物流信息，直接服务药品生产企业使用单位，通过解决其中的物流配送难题，跳过现有经营中间企业，直接扩大生产企业的直接控制势力范围。能够借助已有的渠道优势把药品配送延伸到基层医疗机构，解决“最后一公里”的问题。还有利于连锁经营企业在县级及以下第三终端市场扩张等等——而这些优势，会让众多药品生产企业、经营企业、使用单位更青睐于选择第三方药品物流。</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隐忧二：“两票制”下医药物流将进入酷暑还是寒冬？</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2017年1月9日国务院医改办、国家卫生和计划生育委员会等国家八部门联合发布了《关于在公立医疗机构药品采购中推行“两票制”的实施意见（试行）》，表明公立医院在药品采购中实行“两票制”将从部分省市的试点逐步推向全国施行。</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这项剑指药品价格虚高、医药商业灰色链条等问题的举措已在执行层面获得认可和推广，但其在各地的推行时间、实施方法有所差别。接下来，在“两票制”政策大潮中，医药工业、商业企业如何应对？会出现怎样的商业模式？下面听听权威专家的解读。</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 xml:space="preserve"> “‘两票制’改变制药企业的营销模式，由‘低开’向‘高开’转型，2016年底的‘两票制’冲击波，感受最深的是中小药企。因营销模式转型，中小药企将在2017年出现重组浪潮。”北京大学政府管理学院教授顾昕撰文指出。而对于医药商业，顾昕认为，最简单的转型方法是成为高开制药企业的市场调研公司或咨询服务公司，接受制药企业的“委托”，面向医院组织市场调研，从药企获取的收入以调查费、分析费、咨询费的名义，转入这些公司。</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中小企业会感到恐慌，但对规范流通秩序有好处。”采访中，湖南省食药监管局负责药品流通监管的一位专家对本报记者表示，实行“两票制”的目的就是压缩中间环节，打击药品购销中的“潜规则”，因此不规范的企业会经历阵痛，而药品流通大环境将被净化。</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制药企业要趁此机会，推动资产重组、兼并联合和企业扩容；重新梳理分类药品的销售方式，紧抓医院终端，特别是医院的带金销售被遏制之后，需要调整对医院的销售方式；有条件的药品生产企业可以建立销售公司，走向科研、生产、销售三位一体。对于小型批发企业以及‘挂靠’‘走票’的企业要早日转型或退市；配送企业则要重视特殊地区如乡下、特殊机构比如基层的药品配送。”浙江省医药行业协会原会长郭先生建议。</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隐忧三：供应链服务水平有待提升</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国药湖南公司的组织结构历经转变，公司的管理方式也更加科学有效，但公司整体的工作重点仍是常温药品的销售。如果以销售业绩和利润作为考核标准，药品销售工作凭借高流转量和数额，对公司的利益影响最大，医药配送也确实是国药湖南公司的主营服务。由于冷藏技术、企业信息化水平、资金等因素的限制，国药湖南公司的物流配送合作企业数量少，只能承担小范围、近距离的配送任务，大部分的医药配送业务均需要国药湖南公司自身完成。由于医药销售对公司影响较大，医药配送流程的执行、规范与管理，物流成本的控制等诸多方面，均未引起充分重视，已成为影响主业发展的主要因素之一。</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国药湖南公司医药配送相关的部门有包括运输部、仓储部、运营部、财务部、行政部在内的五个部门。各部门员工的操作形成医药配送流程，基层员工对于医药配送的影响是显著的。医药配送部的管理人员拥有丰富的常温药品配送经验，缺乏冷链药品配送相关的专业知识，特别是制冷设备管理、配送路线优化等方面，仅凭借经验对冷链配送流程实施管理。司机和配送员在基层员工中占很大比例，司机大多拥有丰富的冷藏车驾驶经验，但缺乏冷链的相关专业知识，对制冷设备的使用和操作并不熟练，对整个配送流程的认识也比较片面，特别是在冷库、客户交接环节工作不够细致。国药湖南公司的配送人员对各条线路的配送状况经验丰富，但是缺乏冷链配送的专业知识，对整个配送流程的理解基本上等同于一般药品的配送，冷藏药品全程冷链的意识不强。</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另外，药品的缺货现象也成为影响客户体验的主要因素。如某医院客户对缺货的管理很严格，提出“零库存”的要求，就是药库的库存量不能大于药房下一次需要的量。如果药房缺货，就会扣药库的钱，药库上下对此十分重视。特别是月底盘货时，这种紧张感很更加严重。一旦某个品种的药品出现不及时供货的情况，他们将停止向国药控股采购该药品。</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面对这样的情况，我们改进做法，对于经常缺货的产品，希望该医院采购部门能够在每月25日前完成备货。尽管如此，由于药品有一定的周期性和突发性，所以采购也很难真正做到不缺货。于是，我们就通过打电话和频繁的拜访，关注该医院每天的库存情况，这样总让我们在第一时间掌握到的缺货信息。尽管缺货补货的情况有明显改善，但仍然不是令人十分满意，能否有更好的方法呢？</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总的来看，由于公司内部管理、上下游管理和员工素质等原因，国药湖南公司的医药配送服务水平亟待提升。</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隐忧四 医药配送流程及过程监控有待加强</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国药湖南公司各部门间的协作是医药配送顺利完成的保证，客服部接到业务部的订单请求后将订单传递至医药配送部门，包装加工部门负责移库包装，行政部门需要关注医药物流部日常办公需要，财务部则需要掌握各部门的财务数据，包括成本、销售量、利润等。</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冷藏药品配送装车前的工作需要仓储部和运输部共同协调完成，装车过程中也需要两个部门同时确认订单、清点药品数量并装车。配送前的工作如果出现问题或误差，客户投诉、订单问题产品退回甚至订单拒收等将第一时间传达给配送部门的司机和配送员，并由这些基层员工传达给相关部门。</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由于该部门属于垂直型组织结构，执行跨部门决策时需要通过各级管理部门协调解决，这就造成人事协调的矛盾和冲突增加，降低执行效率。可以说这样的组织结构，协调并不能为企业带来利益，反而增加沟通成本。导致大部分客户投诉是</w:t>
      </w:r>
      <w:r>
        <w:rPr>
          <w:rFonts w:hint="eastAsia" w:ascii="Times New Roman" w:hAnsi="Times New Roman" w:cs="Times New Roman" w:eastAsiaTheme="minorEastAsia"/>
          <w:color w:val="000000" w:themeColor="text1"/>
          <w:kern w:val="2"/>
          <w:lang w:eastAsia="zh-CN"/>
          <w14:textFill>
            <w14:solidFill>
              <w14:schemeClr w14:val="tx1"/>
            </w14:solidFill>
          </w14:textFill>
        </w:rPr>
        <w:t>因</w:t>
      </w:r>
      <w:r>
        <w:rPr>
          <w:rFonts w:hint="eastAsia" w:ascii="Times New Roman" w:hAnsi="Times New Roman" w:cs="Times New Roman" w:eastAsiaTheme="minorEastAsia"/>
          <w:color w:val="000000" w:themeColor="text1"/>
          <w:kern w:val="2"/>
          <w14:textFill>
            <w14:solidFill>
              <w14:schemeClr w14:val="tx1"/>
            </w14:solidFill>
          </w14:textFill>
        </w:rPr>
        <w:t>配送温度过高，要求退货甚至拒收，而主要原因不仅在于配送过程中的冷藏车故障和配送员的工作失误，很大程度上是装车效率低下，特别是在夏天，导致冷车内温度波动过大，而药品冷藏箱多采用泡沫箱中加入“冰排”的方式，在搬运过程中出现“冰排”融化情况。即使在接下来的运输过程中冷藏车内的温度保持在规定范围内，药品的实际品质也受到影响，严重影响冷藏药品安全。由于冷藏药品需要在规定的温度内（2℃-8℃）储存和运输，冷藏药品自身对温度的敏感性较高，一旦环境温度超过规定值很容易失去原有活性。所以，保持在该规定温度环境下可以有效保持冷藏药品活性和药效，是确保冷藏药品质量的前提和基础。但这个温度时常会和环境温度一致，在运输配送过程中往往会被忽视。</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国药湖南公司的药品在发往省内地州市的二级物流中心过程中，冷藏药品如果脱离规定环境温度，再进行冷藏已经毫无意义。因为此时药品效用已经不复存在，必须进行报废处理，否则将会形成药害，也就是脱离规定温度环境的冷藏药品对于配送环节是失误，这个失误会对配送服务质量和成本产生重大影响。因此，要保证进入物流中心的冷藏药品的有效性，就必须严格控制药品从生产企业发至物流中心的温度环境，实时监控记录温度数据，保证配送有效性。另一方面，如果发生药品报废使用事件，这样也能充分保证溯源过程中有证可查。</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因此，冷藏药品的冷链配送需要从源头抓起，从生产企业到物流中心做到实时监控、确保温度环境以及冷链配送的连续性，构建药品配送的全程冷链体系，降低配送误差率。现阶段国药湖南公司这一目标仍未完全实现，冷藏药品从生产企业发出至物流中心的配送工作受制于生产企业的承运商，不受国药湖南公司管控，缺乏有效的监管措施作为保障，致使该公司冷链配送流程存在缺陷，难以实现全程冷链。</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 xml:space="preserve">3月3日，国药控股湖南有限公司召开了一次别开生面的发展研讨交流会，此次会议全体员工及公司领导汇聚一堂，共同探讨公司未来发展大计。公司上下围绕第三方物流的进入以及“两票制”的即将推行对医药流通业的影响，新环境下医药供应链模式重构，扩大终端网络覆盖，整个供应链系统优化问题展开了激烈的讨论。“到底公司下一步应如何走！……路在何方？”公司经理皱紧了眉头…… </w:t>
      </w:r>
    </w:p>
    <w:p>
      <w:pPr>
        <w:spacing w:line="300" w:lineRule="auto"/>
        <w:ind w:firstLine="480" w:firstLineChars="200"/>
        <w:rPr>
          <w:rFonts w:hint="eastAsia"/>
          <w:bCs/>
          <w:color w:val="000000" w:themeColor="text1"/>
          <w:sz w:val="24"/>
          <w14:textFill>
            <w14:solidFill>
              <w14:schemeClr w14:val="tx1"/>
            </w14:solidFill>
          </w14:textFill>
        </w:rPr>
      </w:pPr>
    </w:p>
    <w:p>
      <w:pPr>
        <w:pStyle w:val="19"/>
        <w:shd w:val="clear" w:color="auto" w:fill="FFFFFF"/>
        <w:spacing w:before="0" w:beforeAutospacing="0" w:after="0" w:afterAutospacing="0" w:line="360" w:lineRule="auto"/>
        <w:ind w:firstLine="480" w:firstLineChars="200"/>
        <w:jc w:val="both"/>
        <w:rPr>
          <w:color w:val="000000" w:themeColor="text1"/>
          <w14:textFill>
            <w14:solidFill>
              <w14:schemeClr w14:val="tx1"/>
            </w14:solidFill>
          </w14:textFill>
        </w:rPr>
      </w:pPr>
    </w:p>
    <w:p>
      <w:pPr>
        <w:pStyle w:val="19"/>
        <w:shd w:val="clear" w:color="auto" w:fill="FFFFFF"/>
        <w:spacing w:before="0" w:beforeAutospacing="0" w:after="0" w:afterAutospacing="0"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br w:type="page"/>
      </w:r>
    </w:p>
    <w:p>
      <w:pPr>
        <w:tabs>
          <w:tab w:val="left" w:pos="420"/>
        </w:tabs>
        <w:autoSpaceDE w:val="0"/>
        <w:autoSpaceDN w:val="0"/>
        <w:adjustRightInd w:val="0"/>
        <w:snapToGrid w:val="0"/>
        <w:spacing w:line="360" w:lineRule="auto"/>
        <w:jc w:val="left"/>
        <w:outlineLvl w:val="0"/>
        <w:rPr>
          <w:rFonts w:hint="eastAsia"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 xml:space="preserve">案例5 </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before="157" w:beforeLines="50" w:after="469" w:afterLines="150" w:line="360" w:lineRule="auto"/>
        <w:ind w:left="0" w:leftChars="0" w:right="0" w:rightChars="0" w:firstLine="0" w:firstLineChars="0"/>
        <w:jc w:val="center"/>
        <w:textAlignment w:val="auto"/>
        <w:outlineLvl w:val="0"/>
        <w:rPr>
          <w:rFonts w:hint="default" w:ascii="黑体" w:hAnsi="黑体" w:eastAsia="黑体"/>
          <w:b/>
          <w:color w:val="000000" w:themeColor="text1"/>
          <w:sz w:val="36"/>
          <w:szCs w:val="36"/>
          <w:lang w:val="zh-CN" w:eastAsia="zh-CN"/>
          <w14:textFill>
            <w14:solidFill>
              <w14:schemeClr w14:val="tx1"/>
            </w14:solidFill>
          </w14:textFill>
        </w:rPr>
      </w:pPr>
      <w:r>
        <w:rPr>
          <w:rFonts w:hint="eastAsia" w:ascii="黑体" w:hAnsi="黑体" w:eastAsia="黑体"/>
          <w:b/>
          <w:color w:val="000000" w:themeColor="text1"/>
          <w:sz w:val="36"/>
          <w:szCs w:val="36"/>
          <w:lang w:val="en-US" w:eastAsia="zh-CN"/>
          <w14:textFill>
            <w14:solidFill>
              <w14:schemeClr w14:val="tx1"/>
            </w14:solidFill>
          </w14:textFill>
        </w:rPr>
        <w:t xml:space="preserve"> 湘欧快线多式联运系统建设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14:textFill>
            <w14:solidFill>
              <w14:schemeClr w14:val="tx1"/>
            </w14:solidFill>
          </w14:textFill>
        </w:rPr>
        <w:t xml:space="preserve">公司简介    </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湖南湘欧快线物流有限公司由广州铁路（集团）公司长沙货运中心、湖南铁诚物流有限公司、中国外运湖南公司共同出资成立。2013年在湖南省、长沙市政府相关部门的领导下开始筹备建设湖南至中亚、欧洲的国际铁路货运班列，2014年10月30日正式开通长沙至中亚、欧洲班列，2015年实行班列常态化运营。公司主营业务以国际多式联运及全程包干服务为主，另外也涉及公路非常规货物运输、代理报关报检业务等。公司与国内国际铁路、公路、海运知名物流企业建立了良好、稳定的合作伙伴关系。</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公司开辟的“湘欧快线”是中国开往欧洲的快速货物班列中的一条线路，自长沙出发到满洲里出境，途经俄罗斯、白俄罗斯、波兰，抵达德国杜伊斯堡。</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14:textFill>
            <w14:solidFill>
              <w14:schemeClr w14:val="tx1"/>
            </w14:solidFill>
          </w14:textFill>
        </w:rPr>
        <w:t>湘欧快线基本情况</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“湘欧快线”将从长沙火车新北站 (霞凝站)始发，运行路线为“一主两辅”。“一主”为长沙-德国杜伊斯堡，通过新疆阿拉山口出境，途经哈萨克斯坦、俄罗斯、白俄罗斯、波兰、德国，全程11808公里，运行时间18天。“两辅”一是经新疆霍尔果斯出境，最终抵达乌兹别克斯坦的塔什干，全程6146公里，运行时间11天</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另一条经二连浩特(或满洲里)出境后，到达俄罗斯莫斯科，全程8047公里(或10090公里)，运行时间13天(或15天)。进入常态化后，初步计划2015年起每10天开行一趟(每月开行主线班列1趟，辅线班列2趟)。“湘欧快线”沿途经过6个国家，历经2次转关、2次换轨</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湘欧快线运行线路</w:t>
      </w:r>
      <w:r>
        <w:rPr>
          <w:rFonts w:hint="eastAsia" w:ascii="Times New Roman" w:hAnsi="Times New Roman" w:cs="Times New Roman" w:eastAsiaTheme="minorEastAsia"/>
          <w:color w:val="000000" w:themeColor="text1"/>
          <w:kern w:val="2"/>
          <w:lang w:eastAsia="zh-CN"/>
          <w14:textFill>
            <w14:solidFill>
              <w14:schemeClr w14:val="tx1"/>
            </w14:solidFill>
          </w14:textFill>
        </w:rPr>
        <w:t>如图</w:t>
      </w:r>
      <w:r>
        <w:rPr>
          <w:rFonts w:hint="eastAsia" w:ascii="Times New Roman" w:hAnsi="Times New Roman" w:cs="Times New Roman" w:eastAsiaTheme="minorEastAsia"/>
          <w:color w:val="000000" w:themeColor="text1"/>
          <w:kern w:val="2"/>
          <w:lang w:val="en-US" w:eastAsia="zh-CN"/>
          <w14:textFill>
            <w14:solidFill>
              <w14:schemeClr w14:val="tx1"/>
            </w14:solidFill>
          </w14:textFill>
        </w:rPr>
        <w:t>2所示</w:t>
      </w:r>
      <w:r>
        <w:rPr>
          <w:rFonts w:hint="eastAsia" w:ascii="Times New Roman" w:hAnsi="Times New Roman" w:cs="Times New Roman" w:eastAsiaTheme="minorEastAsia"/>
          <w:color w:val="000000" w:themeColor="text1"/>
          <w:kern w:val="2"/>
          <w14:textFill>
            <w14:solidFill>
              <w14:schemeClr w14:val="tx1"/>
            </w14:solidFill>
          </w14:textFill>
        </w:rPr>
        <w:t>。</w:t>
      </w:r>
    </w:p>
    <w:p>
      <w:pPr>
        <w:widowControl/>
        <w:shd w:val="clear" w:color="auto" w:fill="FFFFFF"/>
        <w:spacing w:line="301" w:lineRule="atLeast"/>
        <w:ind w:firstLine="480"/>
        <w:jc w:val="center"/>
        <w:rPr>
          <w:rFonts w:hint="eastAsia" w:ascii="Arial" w:hAnsi="Arial" w:cs="Arial"/>
          <w:color w:val="000000" w:themeColor="text1"/>
          <w:kern w:val="0"/>
          <w:sz w:val="24"/>
          <w:szCs w:val="24"/>
          <w14:textFill>
            <w14:solidFill>
              <w14:schemeClr w14:val="tx1"/>
            </w14:solidFill>
          </w14:textFill>
        </w:rPr>
      </w:pPr>
      <w:r>
        <w:rPr>
          <w:color w:val="000000" w:themeColor="text1"/>
          <w14:textFill>
            <w14:solidFill>
              <w14:schemeClr w14:val="tx1"/>
            </w14:solidFill>
          </w14:textFill>
        </w:rPr>
        <w:drawing>
          <wp:inline distT="0" distB="0" distL="114300" distR="114300">
            <wp:extent cx="2916555" cy="1527175"/>
            <wp:effectExtent l="0" t="0" r="17145" b="15875"/>
            <wp:docPr id="2" name="图片 1" descr="https://ss0.bdstatic.com/94oJfD_bAAcT8t7mm9GUKT-xh_/timg?image&amp;quality=100&amp;size=b4000_4000&amp;sec=1494721781&amp;di=aa9125270dd95dbc82c5d625764ca6f5&amp;src=http://epaper.xxcb.cn/xxcba/res/1/20141016/2930141339718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s://ss0.bdstatic.com/94oJfD_bAAcT8t7mm9GUKT-xh_/timg?image&amp;quality=100&amp;size=b4000_4000&amp;sec=1494721781&amp;di=aa9125270dd95dbc82c5d625764ca6f5&amp;src=http://epaper.xxcb.cn/xxcba/res/1/20141016/29301413397186125.jpg"/>
                    <pic:cNvPicPr>
                      <a:picLocks noChangeAspect="1"/>
                    </pic:cNvPicPr>
                  </pic:nvPicPr>
                  <pic:blipFill>
                    <a:blip r:embed="rId16"/>
                    <a:stretch>
                      <a:fillRect/>
                    </a:stretch>
                  </pic:blipFill>
                  <pic:spPr>
                    <a:xfrm>
                      <a:off x="0" y="0"/>
                      <a:ext cx="2916555" cy="1527175"/>
                    </a:xfrm>
                    <a:prstGeom prst="rect">
                      <a:avLst/>
                    </a:prstGeom>
                    <a:noFill/>
                    <a:ln w="9525">
                      <a:noFill/>
                    </a:ln>
                  </pic:spPr>
                </pic:pic>
              </a:graphicData>
            </a:graphic>
          </wp:inline>
        </w:drawing>
      </w:r>
    </w:p>
    <w:p>
      <w:pPr>
        <w:pStyle w:val="4"/>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 xml:space="preserve"> 湘欧快线运行线路</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如果把湖南与欧洲之间的传统海运比作绿皮火车，那么“湘欧快线”无疑是湖南国际物流的“高铁”。与海运相比，尽管铁路运输成本相对要高，但基于速度优势，“湘欧快线”正成为越来越多高附加值产品出口的首选。同样一批货，从湖南长沙出发运往德国杜伊斯堡，以往走海运，全程大约要耗时近两个月，如今，通过“湘欧快线”只要16天就能抵达目的地。</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湘欧快线”是中国开往欧洲的快速货物班列中的一条线路，自长沙出发到满洲里出境，途经俄罗斯、白俄罗斯、波兰，抵达德国杜伊斯堡。除了长沙，中国还有成都、重庆、郑州、武汉、苏州、义乌等10个城市开通了欧洲班列。</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14:textFill>
            <w14:solidFill>
              <w14:schemeClr w14:val="tx1"/>
            </w14:solidFill>
          </w14:textFill>
        </w:rPr>
        <w:t>开通意义</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中国铁路总公司统计显示，2017年中欧班列开行数量较去年同期增加612列，增长158%。据介绍，“一带一路”倡议提出以来，中欧班列开行数量迅猛增长，运到时限大幅压缩，物流成本显著降低，服务平台不断完善，货物品类日益丰富，中欧班列品牌的影响力不断增强。搭载在中欧班列上的货物品类日益丰富，从小商品和电子产品为主逐步丰富到纺织品、汽车及配件、机械装备、家具等；从最初的单向运营，到现在的双向运营，西班牙红酒、波兰牛奶、保加利亚玫瑰精油、德国汽车越来越多的回程货搭上了中欧班列国际列车，进入中国市场。目前，依托新亚欧大陆桥和西伯利亚大陆桥，已形成西、中、东三条中欧铁路运输通道，中国铁路已经铺画了中欧班列运行线51条，国内开行城市达到28个，到达欧洲11个国家29个城市。</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相较于中欧班列中的其他线路，“湘欧快线”起步相对较晚，发展却十分迅速。从当初深入企业推广四处寻找货源，到现在客商主动上门对接，“湘欧快线”不仅成为湖南企业出口欧洲的首选通道，还吸引了许多华南、华东地区的货源。“湘欧快线”也因此由运营初期的一周一班的班列化运营增加至有时一周两到三班。随着中国对外开放步伐加快，湖南对国际物流通道的需求更为迫切。“湘欧快线”正好弥补了湖南走出去通道不足的燃眉之急。</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湘欧快线”同样给华南、华东地区的企业带来便利。作为中国第二大编组站，湖南株洲铁路编组站辐射范围地域辽阔，为江西、广东、广西、海南、贵州等没有开行欧洲班列的省份将货物聚集长沙提供了便利。有了这些货源地，“湘欧快线”后劲很足。“湘欧快线”出口的货物主要有电子产品、陶瓷、服饰、机械配件、化工、纺织品、食品、钢铁等，既有湖南本地产品，也有来自周边江西、广东、贵州等省的货物。“湘欧快线”自2014年10月起试运行，2015年9月开始实现常态化运营，目前还实现了载货返程。“湘欧快线”不仅为湖南及周边省份融入世界经济加足了马力，还将为东南亚国家带来极大便利。目前已经有越南地区的供货商主动前来对接洽谈，希望搭乘“湘欧快线”将当地货物直接运往欧洲。 湖南正在规划长沙霞凝货场二期，将有近100亩用地用于一类口岸建设，等到口岸升级后，搭乘“湘欧快线”走向中亚、欧洲市场的中国产品会更多、更全面。</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4</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14:textFill>
            <w14:solidFill>
              <w14:schemeClr w14:val="tx1"/>
            </w14:solidFill>
          </w14:textFill>
        </w:rPr>
        <w:t>湘欧快线的集装箱班列运输现状</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集装箱班列作为多式联运的高级组织形式，实现了“定点装卸地点、定线运行线、定车次、定时开行日期、到达时刻、运输期限、定价费用固定、一次清算”，是目前集装箱多式联运的发展趋势。</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湘欧快线目前已开通到汉堡(杜伊斯堡)、华沙、莫斯科、塔什干、明斯克的国际集装箱“五定”班列。同时，实现了与内陆西安、成都、郑州、兰州和乌鲁木齐的海关直通，保证了班列运输通道的畅通。通过多年的海铁联运建设，形成了密集的内陆班列运输通道，同时也积累了丰富经验，培养了大批精通海铁联运及陆桥运输业务的工作人员。</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湘欧快线通过一年多常态化的运行，发展势头迅猛，2016年1至12月，“湘欧快线”共发运进出口货物17.3万吨、货值4.93亿美元。湖南省省长许达哲在省十二届人大七次会议上作的政府工作报告提出，把长沙建成中国腹地直通国际的开放大通道，“湘欧快线”将为此贡献力量，助力湖南外向型经济发展。2017年，“湘欧快线”将围绕霞凝货场打造“湘欧快线国际陆港中心”，常态化运行明斯克班列，拉通广东石龙到长沙的“湘粤快线”支线班列，拉通越南河内的东盟班列，并将在俄罗斯、波兰、德国等地设置驻外机构。</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5</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14:textFill>
            <w14:solidFill>
              <w14:schemeClr w14:val="tx1"/>
            </w14:solidFill>
          </w14:textFill>
        </w:rPr>
        <w:t>湘欧快线目前面临的困境</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（1）运价过高</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近年来，由于海上集装箱运输市场出现供大于求的局面，使得海上集装箱运输价格大幅度下降通过海运从湖南到鹿特丹港的运费为2170美元/40英尺标箱（包括运费、港杂费、电放费、铅封费、装箱费、卸车费、报关费、外理费、商检代理费、熏蒸费、加温费等费用），比新亚欧大陆桥运费低。西伯利亚大陆桥运送按顺序统一费率为3190美元/40英尺标箱，比新亚欧大陆桥高。</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（2）运输时间长</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在国际贸易货物运输中，速度因素越来越重要。哈萨克斯坦段货物列车速度为30-40公里/小时，俄罗斯段列车速度为50-60公里/小时。这样一来，从长沙到莫斯科平均运行26天，到鹿特需要30天。新疆段的货物列车技术速度不到50公里/小时。</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（3）过境和海关程序复杂</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据统计，目前货物在口岸的平均滞留时间占全程运输时间的30%。其中，由于单证、海关查验等原因占60%，运力衔接等其他原因占40%。阻碍这条通道上洲际货物运输发展的原因很多，其中之一是海关及检验检疫部门与铁路的协调问题。在俄罗斯口岸海关过境货物要通过好多次的检验。俄罗斯海关人员经常超过他们的权威、抓住集装箱的商品、以货物报关出过度的挑剔、携带终站海关的工作，这都绝对不能助于国际过境货运发展。</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（4）缺乏铁路技术设备</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新亚欧大陆桥通过个国家，涉及两种铁路轨距，其中波兰、德国、荷兰以及中国境内为准轨（1435毫米），占陆桥全长的51.2%；中亚三国境内为宽轨1520毫米，占48.8%，因此货物在运输全程需要两次换装，多次代理，导致新亚欧大陆桥行车平均速度慢，运费高，货物在口岸长时间滞压和缺损。海关都要囤积等候数日，将集装箱上一个一个的货柜重新吊装到另一个国家的火车底盘上，才能够继续向西运到土库曼或阿塞拜疆。之后，又要将集装箱货物换到轨距不一的土耳其火车上，这样才能沿着欧亚铁路土西新干线到达欧洲的西班牙等国。各国铁路轨距标准不一，造成了运输线路的不畅通。</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（5）缺乏运输信息化</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虽然中国海运、港口、铁路、口岸及哈萨克斯坦铁路都有自己的信息系统，但是这些信息大部分主要是为内部的生产监控服务，对外服务很少，也缺乏专门机制和渠道服务社会。新亚欧大陆桥至今还没有可与主营经营人接口、供用户查询的系统，也不能实现客户网上查询的要求。中国的海运、港口、铁路、口岸等大陆桥运输部门的信息系统之间缺乏有效连接和沟通，也缺乏对外提供信息服务的基本制度。为了满足客户这方面的需求，中国外运、中铁联合物流、中远物流等陆桥经营者都不得不着手搭建自己的陆桥信息查询系统。</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（6）国内其他同行竞争</w:t>
      </w:r>
      <w:r>
        <w:rPr>
          <w:rFonts w:hint="eastAsia" w:ascii="Times New Roman" w:hAnsi="Times New Roman" w:cs="Times New Roman" w:eastAsiaTheme="minorEastAsia"/>
          <w:color w:val="000000" w:themeColor="text1"/>
          <w:kern w:val="2"/>
          <w:lang w:eastAsia="zh-CN"/>
          <w14:textFill>
            <w14:solidFill>
              <w14:schemeClr w14:val="tx1"/>
            </w14:solidFill>
          </w14:textFill>
        </w:rPr>
        <w:t>。</w:t>
      </w:r>
      <w:r>
        <w:rPr>
          <w:rFonts w:hint="eastAsia" w:ascii="Times New Roman" w:hAnsi="Times New Roman" w:cs="Times New Roman" w:eastAsiaTheme="minorEastAsia"/>
          <w:color w:val="000000" w:themeColor="text1"/>
          <w:kern w:val="2"/>
          <w14:textFill>
            <w14:solidFill>
              <w14:schemeClr w14:val="tx1"/>
            </w14:solidFill>
          </w14:textFill>
        </w:rPr>
        <w:t>目前，我国已经开通从中国内地各个主要节点城市到欧洲的运输快线有粤新欧、郑新欧、渝新欧、汉新欧、厦蓉欧、苏满欧、粤满俄、苏满俄、湘欧快线。不同企业，不同线路的相互竞争使得湘欧快线面临巨大压力。</w:t>
      </w:r>
    </w:p>
    <w:p>
      <w:pPr>
        <w:pStyle w:val="19"/>
        <w:shd w:val="clear" w:color="auto" w:fill="FFFFFF"/>
        <w:spacing w:before="0" w:beforeAutospacing="0" w:after="0" w:afterAutospacing="0" w:line="360" w:lineRule="auto"/>
        <w:ind w:firstLine="480" w:firstLineChars="200"/>
        <w:jc w:val="both"/>
        <w:rPr>
          <w:rFonts w:hint="eastAsia" w:ascii="Times New Roman" w:hAnsi="Times New Roman" w:cs="Times New Roman" w:eastAsiaTheme="minorEastAsia"/>
          <w:color w:val="000000" w:themeColor="text1"/>
          <w:kern w:val="2"/>
          <w14:textFill>
            <w14:solidFill>
              <w14:schemeClr w14:val="tx1"/>
            </w14:solidFill>
          </w14:textFill>
        </w:rPr>
      </w:pPr>
      <w:r>
        <w:rPr>
          <w:rFonts w:hint="eastAsia" w:ascii="Times New Roman" w:hAnsi="Times New Roman" w:cs="Times New Roman" w:eastAsiaTheme="minorEastAsia"/>
          <w:color w:val="000000" w:themeColor="text1"/>
          <w:kern w:val="2"/>
          <w14:textFill>
            <w14:solidFill>
              <w14:schemeClr w14:val="tx1"/>
            </w14:solidFill>
          </w14:textFill>
        </w:rPr>
        <w:t>面对我国正在进行的一带一路战略方针，在位于中国中南部的长沙成立的这样一个以国际多式联运及全程包干服务为主，另外也涉及公路非常规货物运输、代理报关报检等业务的物流企业，无疑顺应了时代的发展。然而，随着业务量的快速增长，内地到欧洲的铁路水路竞争加剧，湘欧快线如何在时间、价格、客户服务的综合竞争中赢得优势是目前公司在多式联运系统建设中亟待解决的一个主要问题。</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br w:type="page"/>
      </w:r>
    </w:p>
    <w:p>
      <w:pPr>
        <w:tabs>
          <w:tab w:val="left" w:pos="420"/>
        </w:tabs>
        <w:autoSpaceDE w:val="0"/>
        <w:autoSpaceDN w:val="0"/>
        <w:adjustRightInd w:val="0"/>
        <w:snapToGrid w:val="0"/>
        <w:spacing w:line="360" w:lineRule="auto"/>
        <w:jc w:val="left"/>
        <w:outlineLvl w:val="0"/>
        <w:rPr>
          <w:rFonts w:hint="eastAsia" w:ascii="黑体" w:hAnsi="黑体" w:eastAsia="黑体"/>
          <w:b/>
          <w:color w:val="000000" w:themeColor="text1"/>
          <w:sz w:val="32"/>
          <w:szCs w:val="32"/>
          <w14:textFill>
            <w14:solidFill>
              <w14:schemeClr w14:val="tx1"/>
            </w14:solidFill>
          </w14:textFill>
        </w:rPr>
      </w:pPr>
      <w:r>
        <w:rPr>
          <w:rFonts w:hint="eastAsia" w:ascii="黑体" w:hAnsi="黑体" w:eastAsia="黑体"/>
          <w:b/>
          <w:color w:val="000000" w:themeColor="text1"/>
          <w:sz w:val="32"/>
          <w:szCs w:val="32"/>
          <w14:textFill>
            <w14:solidFill>
              <w14:schemeClr w14:val="tx1"/>
            </w14:solidFill>
          </w14:textFill>
        </w:rPr>
        <w:t>案例</w:t>
      </w:r>
      <w:r>
        <w:rPr>
          <w:rFonts w:hint="eastAsia" w:ascii="黑体" w:hAnsi="黑体" w:eastAsia="黑体"/>
          <w:b/>
          <w:color w:val="000000" w:themeColor="text1"/>
          <w:sz w:val="32"/>
          <w:szCs w:val="32"/>
          <w:lang w:val="en-US" w:eastAsia="zh-CN"/>
          <w14:textFill>
            <w14:solidFill>
              <w14:schemeClr w14:val="tx1"/>
            </w14:solidFill>
          </w14:textFill>
        </w:rPr>
        <w:t>6</w:t>
      </w:r>
      <w:r>
        <w:rPr>
          <w:rFonts w:hint="eastAsia" w:ascii="黑体" w:hAnsi="黑体" w:eastAsia="黑体"/>
          <w:b/>
          <w:color w:val="000000" w:themeColor="text1"/>
          <w:sz w:val="32"/>
          <w:szCs w:val="32"/>
          <w14:textFill>
            <w14:solidFill>
              <w14:schemeClr w14:val="tx1"/>
            </w14:solidFill>
          </w14:textFill>
        </w:rPr>
        <w:t xml:space="preserve"> </w:t>
      </w:r>
    </w:p>
    <w:p>
      <w:pPr>
        <w:keepNext w:val="0"/>
        <w:keepLines w:val="0"/>
        <w:pageBreakBefore w:val="0"/>
        <w:widowControl w:val="0"/>
        <w:tabs>
          <w:tab w:val="left" w:pos="420"/>
        </w:tabs>
        <w:kinsoku/>
        <w:wordWrap/>
        <w:overflowPunct/>
        <w:topLinePunct w:val="0"/>
        <w:autoSpaceDE w:val="0"/>
        <w:autoSpaceDN w:val="0"/>
        <w:bidi w:val="0"/>
        <w:adjustRightInd w:val="0"/>
        <w:snapToGrid w:val="0"/>
        <w:spacing w:before="157" w:beforeLines="50" w:after="469" w:afterLines="150" w:line="360" w:lineRule="auto"/>
        <w:ind w:left="0" w:leftChars="0" w:right="0" w:rightChars="0" w:firstLine="0" w:firstLineChars="0"/>
        <w:jc w:val="center"/>
        <w:textAlignment w:val="auto"/>
        <w:outlineLvl w:val="0"/>
        <w:rPr>
          <w:rFonts w:hint="eastAsia" w:ascii="黑体" w:hAnsi="黑体" w:eastAsia="黑体"/>
          <w:b/>
          <w:color w:val="000000" w:themeColor="text1"/>
          <w:sz w:val="36"/>
          <w:szCs w:val="36"/>
          <w:lang w:val="en-US" w:eastAsia="zh-CN"/>
          <w14:textFill>
            <w14:solidFill>
              <w14:schemeClr w14:val="tx1"/>
            </w14:solidFill>
          </w14:textFill>
        </w:rPr>
      </w:pPr>
      <w:r>
        <w:rPr>
          <w:rFonts w:hint="eastAsia" w:ascii="黑体" w:hAnsi="黑体" w:eastAsia="黑体"/>
          <w:b/>
          <w:color w:val="000000" w:themeColor="text1"/>
          <w:sz w:val="36"/>
          <w:szCs w:val="36"/>
          <w:lang w:val="en-US" w:eastAsia="zh-CN"/>
          <w14:textFill>
            <w14:solidFill>
              <w14:schemeClr w14:val="tx1"/>
            </w14:solidFill>
          </w14:textFill>
        </w:rPr>
        <w:t>长沙医药健康产业园共同配送体系的建设</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b/>
          <w:color w:val="000000" w:themeColor="text1"/>
          <w:sz w:val="24"/>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1</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金霞大商贸</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14:textFill>
            <w14:solidFill>
              <w14:schemeClr w14:val="tx1"/>
            </w14:solidFill>
          </w14:textFill>
        </w:rPr>
        <w:t>金霞</w:t>
      </w:r>
      <w:r>
        <w:rPr>
          <w:rFonts w:hint="eastAsia" w:ascii="宋体" w:hAnsi="宋体" w:eastAsia="宋体" w:cs="宋体"/>
          <w:color w:val="000000" w:themeColor="text1"/>
          <w:kern w:val="0"/>
          <w:sz w:val="24"/>
          <w:szCs w:val="24"/>
          <w14:textFill>
            <w14:solidFill>
              <w14:schemeClr w14:val="tx1"/>
            </w14:solidFill>
          </w14:textFill>
        </w:rPr>
        <w:t>首创“电商产业带+市场集群”模式</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引领中部快速步入商贸流通“4.0时代”</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2014年7月14日，以高岭国际商贸为核心的中部商贸物流产业高地项目建设正式启动，</w:t>
      </w:r>
      <w:r>
        <w:rPr>
          <w:rFonts w:hint="eastAsia" w:ascii="宋体" w:hAnsi="宋体" w:eastAsia="宋体" w:cs="宋体"/>
          <w:color w:val="000000" w:themeColor="text1"/>
          <w:sz w:val="24"/>
          <w:szCs w:val="24"/>
          <w:u w:val="none"/>
          <w14:textFill>
            <w14:solidFill>
              <w14:schemeClr w14:val="tx1"/>
            </w14:solidFill>
          </w14:textFill>
        </w:rPr>
        <w:fldChar w:fldCharType="begin"/>
      </w:r>
      <w:r>
        <w:rPr>
          <w:rFonts w:hint="eastAsia" w:ascii="宋体" w:hAnsi="宋体" w:eastAsia="宋体" w:cs="宋体"/>
          <w:color w:val="000000" w:themeColor="text1"/>
          <w:sz w:val="24"/>
          <w:szCs w:val="24"/>
          <w:u w:val="none"/>
          <w14:textFill>
            <w14:solidFill>
              <w14:schemeClr w14:val="tx1"/>
            </w14:solidFill>
          </w14:textFill>
        </w:rPr>
        <w:instrText xml:space="preserve"> HYPERLINK "http://stockdata.stock.hexun.com/600162.shtml" \t "_blank" </w:instrText>
      </w:r>
      <w:r>
        <w:rPr>
          <w:rFonts w:hint="eastAsia" w:ascii="宋体" w:hAnsi="宋体" w:eastAsia="宋体" w:cs="宋体"/>
          <w:color w:val="000000" w:themeColor="text1"/>
          <w:sz w:val="24"/>
          <w:szCs w:val="24"/>
          <w:u w:val="none"/>
          <w14:textFill>
            <w14:solidFill>
              <w14:schemeClr w14:val="tx1"/>
            </w14:solidFill>
          </w14:textFill>
        </w:rPr>
        <w:fldChar w:fldCharType="separate"/>
      </w:r>
      <w:r>
        <w:rPr>
          <w:rFonts w:hint="eastAsia" w:ascii="宋体" w:hAnsi="宋体" w:eastAsia="宋体" w:cs="宋体"/>
          <w:color w:val="000000" w:themeColor="text1"/>
          <w:kern w:val="0"/>
          <w:sz w:val="24"/>
          <w:szCs w:val="24"/>
          <w:u w:val="none"/>
          <w14:textFill>
            <w14:solidFill>
              <w14:schemeClr w14:val="tx1"/>
            </w14:solidFill>
          </w14:textFill>
        </w:rPr>
        <w:t>香江控股</w:t>
      </w:r>
      <w:r>
        <w:rPr>
          <w:rFonts w:hint="eastAsia" w:ascii="宋体" w:hAnsi="宋体" w:eastAsia="宋体" w:cs="宋体"/>
          <w:color w:val="000000" w:themeColor="text1"/>
          <w:kern w:val="0"/>
          <w:sz w:val="24"/>
          <w:szCs w:val="24"/>
          <w:u w:val="none"/>
          <w14:textFill>
            <w14:solidFill>
              <w14:schemeClr w14:val="tx1"/>
            </w14:solidFill>
          </w14:textFill>
        </w:rPr>
        <w:fldChar w:fldCharType="end"/>
      </w:r>
      <w:r>
        <w:rPr>
          <w:rFonts w:hint="eastAsia" w:ascii="宋体" w:hAnsi="宋体" w:eastAsia="宋体" w:cs="宋体"/>
          <w:color w:val="000000" w:themeColor="text1"/>
          <w:kern w:val="0"/>
          <w:sz w:val="24"/>
          <w:szCs w:val="24"/>
          <w:u w:val="none"/>
          <w14:textFill>
            <w14:solidFill>
              <w14:schemeClr w14:val="tx1"/>
            </w14:solidFill>
          </w14:textFill>
        </w:rPr>
        <w:t>(</w:t>
      </w:r>
      <w:r>
        <w:rPr>
          <w:rFonts w:hint="eastAsia" w:ascii="宋体" w:hAnsi="宋体" w:eastAsia="宋体" w:cs="宋体"/>
          <w:color w:val="000000" w:themeColor="text1"/>
          <w:sz w:val="24"/>
          <w:szCs w:val="24"/>
          <w:u w:val="none"/>
          <w14:textFill>
            <w14:solidFill>
              <w14:schemeClr w14:val="tx1"/>
            </w14:solidFill>
          </w14:textFill>
        </w:rPr>
        <w:fldChar w:fldCharType="begin"/>
      </w:r>
      <w:r>
        <w:rPr>
          <w:rFonts w:hint="eastAsia" w:ascii="宋体" w:hAnsi="宋体" w:eastAsia="宋体" w:cs="宋体"/>
          <w:color w:val="000000" w:themeColor="text1"/>
          <w:sz w:val="24"/>
          <w:szCs w:val="24"/>
          <w:u w:val="none"/>
          <w14:textFill>
            <w14:solidFill>
              <w14:schemeClr w14:val="tx1"/>
            </w14:solidFill>
          </w14:textFill>
        </w:rPr>
        <w:instrText xml:space="preserve"> HYPERLINK "http://stockdata.stock.hexun.com/600162.shtml" \t "_blank" </w:instrText>
      </w:r>
      <w:r>
        <w:rPr>
          <w:rFonts w:hint="eastAsia" w:ascii="宋体" w:hAnsi="宋体" w:eastAsia="宋体" w:cs="宋体"/>
          <w:color w:val="000000" w:themeColor="text1"/>
          <w:sz w:val="24"/>
          <w:szCs w:val="24"/>
          <w:u w:val="none"/>
          <w14:textFill>
            <w14:solidFill>
              <w14:schemeClr w14:val="tx1"/>
            </w14:solidFill>
          </w14:textFill>
        </w:rPr>
        <w:fldChar w:fldCharType="separate"/>
      </w:r>
      <w:r>
        <w:rPr>
          <w:rFonts w:hint="eastAsia" w:ascii="宋体" w:hAnsi="宋体" w:eastAsia="宋体" w:cs="宋体"/>
          <w:color w:val="000000" w:themeColor="text1"/>
          <w:kern w:val="0"/>
          <w:sz w:val="24"/>
          <w:szCs w:val="24"/>
          <w:u w:val="none"/>
          <w14:textFill>
            <w14:solidFill>
              <w14:schemeClr w14:val="tx1"/>
            </w14:solidFill>
          </w14:textFill>
        </w:rPr>
        <w:t>600162</w:t>
      </w:r>
      <w:r>
        <w:rPr>
          <w:rFonts w:hint="eastAsia" w:ascii="宋体" w:hAnsi="宋体" w:eastAsia="宋体" w:cs="宋体"/>
          <w:color w:val="000000" w:themeColor="text1"/>
          <w:kern w:val="0"/>
          <w:sz w:val="24"/>
          <w:szCs w:val="24"/>
          <w:u w:val="none"/>
          <w14:textFill>
            <w14:solidFill>
              <w14:schemeClr w14:val="tx1"/>
            </w14:solidFill>
          </w14:textFill>
        </w:rPr>
        <w:fldChar w:fldCharType="end"/>
      </w:r>
      <w:r>
        <w:rPr>
          <w:rFonts w:hint="eastAsia" w:ascii="宋体" w:hAnsi="宋体" w:eastAsia="宋体" w:cs="宋体"/>
          <w:color w:val="000000" w:themeColor="text1"/>
          <w:kern w:val="0"/>
          <w:sz w:val="24"/>
          <w:szCs w:val="24"/>
          <w:u w:val="none"/>
          <w14:textFill>
            <w14:solidFill>
              <w14:schemeClr w14:val="tx1"/>
            </w14:solidFill>
          </w14:textFill>
        </w:rPr>
        <w:t>,</w:t>
      </w:r>
      <w:r>
        <w:rPr>
          <w:rFonts w:hint="eastAsia" w:ascii="宋体" w:hAnsi="宋体" w:eastAsia="宋体" w:cs="宋体"/>
          <w:color w:val="000000" w:themeColor="text1"/>
          <w:sz w:val="24"/>
          <w:szCs w:val="24"/>
          <w:u w:val="none"/>
          <w14:textFill>
            <w14:solidFill>
              <w14:schemeClr w14:val="tx1"/>
            </w14:solidFill>
          </w14:textFill>
        </w:rPr>
        <w:fldChar w:fldCharType="begin"/>
      </w:r>
      <w:r>
        <w:rPr>
          <w:rFonts w:hint="eastAsia" w:ascii="宋体" w:hAnsi="宋体" w:eastAsia="宋体" w:cs="宋体"/>
          <w:color w:val="000000" w:themeColor="text1"/>
          <w:sz w:val="24"/>
          <w:szCs w:val="24"/>
          <w:u w:val="none"/>
          <w14:textFill>
            <w14:solidFill>
              <w14:schemeClr w14:val="tx1"/>
            </w14:solidFill>
          </w14:textFill>
        </w:rPr>
        <w:instrText xml:space="preserve"> HYPERLINK "http://guba.hexun.com/600162,guba.html" \t "_blank" </w:instrText>
      </w:r>
      <w:r>
        <w:rPr>
          <w:rFonts w:hint="eastAsia" w:ascii="宋体" w:hAnsi="宋体" w:eastAsia="宋体" w:cs="宋体"/>
          <w:color w:val="000000" w:themeColor="text1"/>
          <w:sz w:val="24"/>
          <w:szCs w:val="24"/>
          <w:u w:val="none"/>
          <w14:textFill>
            <w14:solidFill>
              <w14:schemeClr w14:val="tx1"/>
            </w14:solidFill>
          </w14:textFill>
        </w:rPr>
        <w:fldChar w:fldCharType="separate"/>
      </w:r>
      <w:r>
        <w:rPr>
          <w:rFonts w:hint="eastAsia" w:ascii="宋体" w:hAnsi="宋体" w:eastAsia="宋体" w:cs="宋体"/>
          <w:color w:val="000000" w:themeColor="text1"/>
          <w:kern w:val="0"/>
          <w:sz w:val="24"/>
          <w:szCs w:val="24"/>
          <w:u w:val="none"/>
          <w14:textFill>
            <w14:solidFill>
              <w14:schemeClr w14:val="tx1"/>
            </w14:solidFill>
          </w14:textFill>
        </w:rPr>
        <w:t>股吧</w:t>
      </w:r>
      <w:r>
        <w:rPr>
          <w:rFonts w:hint="eastAsia" w:ascii="宋体" w:hAnsi="宋体" w:eastAsia="宋体" w:cs="宋体"/>
          <w:color w:val="000000" w:themeColor="text1"/>
          <w:kern w:val="0"/>
          <w:sz w:val="24"/>
          <w:szCs w:val="24"/>
          <w:u w:val="none"/>
          <w14:textFill>
            <w14:solidFill>
              <w14:schemeClr w14:val="tx1"/>
            </w14:solidFill>
          </w14:textFill>
        </w:rPr>
        <w:fldChar w:fldCharType="end"/>
      </w:r>
      <w:r>
        <w:rPr>
          <w:rFonts w:hint="eastAsia" w:ascii="宋体" w:hAnsi="宋体" w:eastAsia="宋体" w:cs="宋体"/>
          <w:color w:val="000000" w:themeColor="text1"/>
          <w:kern w:val="0"/>
          <w:sz w:val="24"/>
          <w:szCs w:val="24"/>
          <w:u w:val="none"/>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阿里巴巴、传化物流、普洛斯仓储、前海香江金融五大龙头企业与开福区政府成功签约，上演了一曲“五龙入湘”的商贸大戏。</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现在</w:t>
      </w:r>
      <w:r>
        <w:rPr>
          <w:rFonts w:hint="eastAsia" w:ascii="宋体" w:hAnsi="宋体" w:eastAsia="宋体" w:cs="宋体"/>
          <w:color w:val="000000" w:themeColor="text1"/>
          <w:kern w:val="0"/>
          <w:sz w:val="24"/>
          <w:szCs w:val="24"/>
          <w:lang w:eastAsia="zh-CN"/>
          <w14:textFill>
            <w14:solidFill>
              <w14:schemeClr w14:val="tx1"/>
            </w14:solidFill>
          </w14:textFill>
        </w:rPr>
        <w:t>除了</w:t>
      </w:r>
      <w:r>
        <w:rPr>
          <w:rFonts w:hint="eastAsia" w:ascii="宋体" w:hAnsi="宋体" w:eastAsia="宋体" w:cs="宋体"/>
          <w:color w:val="000000" w:themeColor="text1"/>
          <w:kern w:val="0"/>
          <w:sz w:val="24"/>
          <w:szCs w:val="24"/>
          <w14:textFill>
            <w14:solidFill>
              <w14:schemeClr w14:val="tx1"/>
            </w14:solidFill>
          </w14:textFill>
        </w:rPr>
        <w:t>已建成入驻湖南粮食集团潇湘粮网、国药控股湖南智慧供应链基地、卓尔电子商务总部基地和联运电子商务公路港等一批全国知名电商企业</w:t>
      </w:r>
      <w:r>
        <w:rPr>
          <w:rFonts w:hint="eastAsia" w:ascii="宋体" w:hAnsi="宋体" w:eastAsia="宋体" w:cs="宋体"/>
          <w:color w:val="000000" w:themeColor="text1"/>
          <w:kern w:val="0"/>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14:textFill>
            <w14:solidFill>
              <w14:schemeClr w14:val="tx1"/>
            </w14:solidFill>
          </w14:textFill>
        </w:rPr>
        <w:t>金霞经开区不断完善大商贸产业发展平台，促进中小企业发展，推动产业集聚效应。目前，园区以佳海工业园、长沙医药健康产业园、中部进出口商品展示交易中心、卓尔电子商务总部基地、高岭国际商贸城等五大产业平台建设为重点，促进平台经济发展。其中长沙医药健康产业园占地628亩，总投资25亿元，一期26万平方米厂房已完成建设，引进企业28家；湖南进出口商品展示交易中心，占地260亩，总投资8亿元，一期8万平方米已完工，引进企业10余家</w:t>
      </w:r>
      <w:r>
        <w:rPr>
          <w:rFonts w:hint="eastAsia" w:ascii="宋体" w:hAnsi="宋体" w:eastAsia="宋体" w:cs="宋体"/>
          <w:color w:val="000000" w:themeColor="text1"/>
          <w:kern w:val="0"/>
          <w:sz w:val="24"/>
          <w:szCs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“金霞”犹如一个能量满满的火车头，正拉动省会长沙这列商贸大车，铿锵步入商贸流通“4.0时代”。</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园区介绍</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长沙医药健康产业园落户于长沙金霞经济开发区，是湖南首家医药健康产业主题园区，同时也是湖南首家医药健康行业全方位一站式供应链服务平台，是湖南最大医药健康企业总部及医药物流集散中心。园区总规划用地628亩，总建筑面积约70万㎡，总投资25亿元，分三期建设，计划完成总工期为5年，拟打造成中南地区极具影响力的生物医学研发高地、产业中心；医药健康企业总部和医药物流配送中心，立足长株潭，辐射大中南，实现产值500亿元产业集群。</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项目一期用地180亩，规划设计26万㎡，其中17万㎡符合药品、医疗器械GSP标准的物流中心；6万㎡的医药健康企业办公大楼；5000㎡生物医学技术公共检测、实验室及产品交易展示厅；3万㎡的大型地下智能车库。</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第一期17万㎡已全面招商完成，成功引进74家医药健康类企业。在2015年投产当年实现园区总产值6亿，解决就业800人， 2016年实现产值30亿。项目一期专业的运营服务带来产业集群效应已突显。医药健康各类企业不断集聚，已形成医药健康产业氛围。</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1）服务场地建设：提供第三方物流服务场地近15000平方米；物业用房450平方米；冷库、冷链实验室配套服务600平方米；公共食堂1100平方米；园区太阳能光伏发电屋顶23500平方米；园区配电间、保安用房、消防室、信息机房等配套用房780平方米；篮球场及运动场所900平方米；产业服务办公区600平方米；公共实验室、检测室：1200平方米；产品展示区300平方米；创客空间200平方米；地下配套车库22000万平方米。</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（2）服务设施设备及软件：园区信息机房服务器2台及网管、路由器等；冷链验证设备、研发设备4台；现代物流设备：输送线、电子标签、冷车、冷包等；千兆光纤及各类光纤交换机等； 配套电动车充电桩；洗车区洗车设备；食堂设备等；服务人员工作电脑及相应会议设备；公共实验净化台、实验设备、检测设备等；WMS仓储软件免费使用；长沙医药健康公共服务平台上线。</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五大专业服务：药品、医疗器械第三方物流，为入园企业配套第三方物流服务；湖南冷链技术研发与应用服务，成立了湖南省首家冷链技术研发中心，为入园企业提供专业冷链验证、包材设计、温度数据管理、冷链体系设计服务；</w:t>
      </w:r>
    </w:p>
    <w:p>
      <w:pPr>
        <w:keepNext w:val="0"/>
        <w:keepLines w:val="0"/>
        <w:pageBreakBefore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医药供应链信息化集成，拥有自主开发的医药供应链软件，长沙医药健康公共服务平台软件，免费赠送给入园企业使用；湖南生物医学技术孵化服务，成立湖南首家生物医学技术孵化中心，为IVD诊断试剂、生物材料、康复理疗、3D生物打印项目进行成果转化、产品注册、市场推广、产业投资服务；医院供应链服务，成为专业医院管理服务团队，为园区企业进行渠道增值、市场延伸、招标咨询等进行专业化供应链服务。</w:t>
      </w:r>
    </w:p>
    <w:p>
      <w:pPr>
        <w:keepNext w:val="0"/>
        <w:keepLines w:val="0"/>
        <w:pageBreakBefore w:val="0"/>
        <w:widowControl w:val="0"/>
        <w:kinsoku/>
        <w:wordWrap/>
        <w:overflowPunct/>
        <w:topLinePunct w:val="0"/>
        <w:autoSpaceDE/>
        <w:autoSpaceDN/>
        <w:bidi w:val="0"/>
        <w:adjustRightInd/>
        <w:snapToGrid/>
        <w:spacing w:before="157" w:beforeLines="50" w:after="157" w:afterLines="50" w:line="300" w:lineRule="auto"/>
        <w:ind w:left="0" w:leftChars="0" w:right="0" w:rightChars="0" w:firstLine="480" w:firstLineChars="200"/>
        <w:jc w:val="both"/>
        <w:textAlignment w:val="auto"/>
        <w:outlineLvl w:val="9"/>
        <w:rPr>
          <w:rFonts w:hint="eastAsia" w:ascii="黑体" w:hAnsi="黑体" w:eastAsia="黑体" w:cs="黑体"/>
          <w:b/>
          <w:bCs/>
          <w:color w:val="000000" w:themeColor="text1"/>
          <w:sz w:val="28"/>
          <w:szCs w:val="28"/>
          <w:lang w:val="en-US" w:eastAsia="zh-CN"/>
          <w14:textFill>
            <w14:solidFill>
              <w14:schemeClr w14:val="tx1"/>
            </w14:solidFill>
          </w14:textFill>
        </w:rPr>
      </w:pPr>
      <w:r>
        <w:rPr>
          <w:rFonts w:hint="eastAsia"/>
          <w:b/>
          <w:color w:val="000000" w:themeColor="text1"/>
          <w:sz w:val="24"/>
          <w:lang w:val="en-US" w:eastAsia="zh-CN"/>
          <w14:textFill>
            <w14:solidFill>
              <w14:schemeClr w14:val="tx1"/>
            </w14:solidFill>
          </w14:textFill>
        </w:rPr>
        <w:t>3</w:t>
      </w:r>
      <w:r>
        <w:rPr>
          <w:rFonts w:ascii="Times New Roman" w:hAnsi="Times New Roman"/>
          <w:color w:val="000000" w:themeColor="text1"/>
          <w:sz w:val="24"/>
          <w:szCs w:val="24"/>
          <w14:textFill>
            <w14:solidFill>
              <w14:schemeClr w14:val="tx1"/>
            </w14:solidFill>
          </w14:textFill>
        </w:rPr>
        <w:t>．</w:t>
      </w:r>
      <w:r>
        <w:rPr>
          <w:rFonts w:hint="eastAsia"/>
          <w:b/>
          <w:color w:val="000000" w:themeColor="text1"/>
          <w:sz w:val="24"/>
          <w:lang w:val="en-US" w:eastAsia="zh-CN"/>
          <w14:textFill>
            <w14:solidFill>
              <w14:schemeClr w14:val="tx1"/>
            </w14:solidFill>
          </w14:textFill>
        </w:rPr>
        <w:t>共同配送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共同配送作为一种先进的配送模式，在欧美和日本等一些发达国家广泛运用，对我国解决城市物流配送问题，构建现代化城市配送体系提供了借鉴经验和启示。实践证明共同配送在整合资源、提高配送效率、解决交通问题上有着很大优势。</w:t>
      </w:r>
    </w:p>
    <w:p>
      <w:pPr>
        <w:keepNext w:val="0"/>
        <w:keepLines w:val="0"/>
        <w:pageBreakBefore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 xml:space="preserve">（1）长沙物流发展现状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pPr>
      <w:r>
        <w:rPr>
          <w:rFonts w:hint="eastAsia" w:ascii="宋体" w:hAnsi="宋体" w:eastAsia="宋体" w:cs="宋体"/>
          <w:b w:val="0"/>
          <w:i w:val="0"/>
          <w:caps w:val="0"/>
          <w:color w:val="000000" w:themeColor="text1"/>
          <w:spacing w:val="0"/>
          <w:sz w:val="24"/>
          <w:szCs w:val="24"/>
          <w14:textFill>
            <w14:solidFill>
              <w14:schemeClr w14:val="tx1"/>
            </w14:solidFill>
          </w14:textFill>
        </w:rPr>
        <w:t>2016年，长沙社会消费品零售总额实现4000亿元新跨越，达到4117.40亿元，在全国省会城市中居第6位</w:t>
      </w:r>
      <w:r>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t>。</w:t>
      </w:r>
      <w:r>
        <w:rPr>
          <w:rFonts w:hint="eastAsia" w:ascii="宋体" w:hAnsi="宋体" w:eastAsia="宋体" w:cs="宋体"/>
          <w:b w:val="0"/>
          <w:i w:val="0"/>
          <w:caps w:val="0"/>
          <w:color w:val="000000" w:themeColor="text1"/>
          <w:spacing w:val="0"/>
          <w:sz w:val="24"/>
          <w:szCs w:val="24"/>
          <w14:textFill>
            <w14:solidFill>
              <w14:schemeClr w14:val="tx1"/>
            </w14:solidFill>
          </w14:textFill>
        </w:rPr>
        <w:t>全市实现社会物流总额3.67万亿元，同比增长12%；实现物流业增加值670亿元，同比增长6.5%。全市年物流收入超过10亿元企业达到9家，超过1亿元的36家。全市标准仓储规模达380万平方米，5星级仓储物流企业15家，初步形成了布局合理、功能配套的仓储物流发展格局。</w:t>
      </w:r>
      <w:r>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t>共同</w:t>
      </w:r>
      <w:r>
        <w:rPr>
          <w:rFonts w:hint="eastAsia" w:ascii="宋体" w:hAnsi="宋体" w:eastAsia="宋体" w:cs="宋体"/>
          <w:b w:val="0"/>
          <w:i w:val="0"/>
          <w:caps w:val="0"/>
          <w:color w:val="000000" w:themeColor="text1"/>
          <w:spacing w:val="0"/>
          <w:sz w:val="24"/>
          <w:szCs w:val="24"/>
          <w14:textFill>
            <w14:solidFill>
              <w14:schemeClr w14:val="tx1"/>
            </w14:solidFill>
          </w14:textFill>
        </w:rPr>
        <w:t>配送已经成为大流通的关键环节，影响民生，制约着城市功能的发挥，关系到城市效率和城市竞争力。</w:t>
      </w:r>
      <w:r>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t>图</w:t>
      </w:r>
      <w:r>
        <w:rPr>
          <w:rFonts w:hint="eastAsia" w:ascii="宋体" w:hAnsi="宋体" w:eastAsia="宋体" w:cs="宋体"/>
          <w:b w:val="0"/>
          <w:i w:val="0"/>
          <w:caps w:val="0"/>
          <w:color w:val="000000" w:themeColor="text1"/>
          <w:spacing w:val="0"/>
          <w:sz w:val="24"/>
          <w:szCs w:val="24"/>
          <w:lang w:val="en-US" w:eastAsia="zh-CN"/>
          <w14:textFill>
            <w14:solidFill>
              <w14:schemeClr w14:val="tx1"/>
            </w14:solidFill>
          </w14:textFill>
        </w:rPr>
        <w:t>3</w:t>
      </w:r>
      <w:r>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t>、图</w:t>
      </w:r>
      <w:r>
        <w:rPr>
          <w:rFonts w:hint="eastAsia" w:ascii="宋体" w:hAnsi="宋体" w:eastAsia="宋体" w:cs="宋体"/>
          <w:b w:val="0"/>
          <w:i w:val="0"/>
          <w:caps w:val="0"/>
          <w:color w:val="000000" w:themeColor="text1"/>
          <w:spacing w:val="0"/>
          <w:sz w:val="24"/>
          <w:szCs w:val="24"/>
          <w:lang w:val="en-US" w:eastAsia="zh-CN"/>
          <w14:textFill>
            <w14:solidFill>
              <w14:schemeClr w14:val="tx1"/>
            </w14:solidFill>
          </w14:textFill>
        </w:rPr>
        <w:t>4</w:t>
      </w:r>
      <w:r>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t>是近年来长沙市的货运量变化图。可见日益增长的货运量一方面推进了物流的发展，另一方面也为物流的运作增加了难度。为了缓解各方压力，共同配送势在必行。</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561080" cy="2259330"/>
            <wp:effectExtent l="4445" t="4445" r="15875" b="22225"/>
            <wp:docPr id="1070"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4"/>
        <w:keepNext w:val="0"/>
        <w:keepLines w:val="0"/>
        <w:pageBreakBefore w:val="0"/>
        <w:kinsoku/>
        <w:wordWrap/>
        <w:overflowPunct/>
        <w:topLinePunct w:val="0"/>
        <w:autoSpaceDE/>
        <w:autoSpaceDN/>
        <w:bidi w:val="0"/>
        <w:adjustRightInd/>
        <w:snapToGrid/>
        <w:ind w:right="0" w:rightChars="0" w:firstLine="480" w:firstLineChars="200"/>
        <w:textAlignment w:val="auto"/>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图</w:t>
      </w:r>
      <w:r>
        <w:rPr>
          <w:rFonts w:hint="eastAsia"/>
          <w:color w:val="000000" w:themeColor="text1"/>
          <w:lang w:val="en-US" w:eastAsia="zh-CN"/>
          <w14:textFill>
            <w14:solidFill>
              <w14:schemeClr w14:val="tx1"/>
            </w14:solidFill>
          </w14:textFill>
        </w:rPr>
        <w:t>3 长沙年货运量</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3539490" cy="2120265"/>
            <wp:effectExtent l="4445" t="5080" r="18415" b="8255"/>
            <wp:docPr id="1072" name="Image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4"/>
        <w:keepNext w:val="0"/>
        <w:keepLines w:val="0"/>
        <w:pageBreakBefore w:val="0"/>
        <w:kinsoku/>
        <w:wordWrap/>
        <w:overflowPunct/>
        <w:topLinePunct w:val="0"/>
        <w:autoSpaceDE/>
        <w:autoSpaceDN/>
        <w:bidi w:val="0"/>
        <w:adjustRightInd/>
        <w:snapToGrid/>
        <w:ind w:right="0" w:righ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图</w:t>
      </w:r>
      <w:r>
        <w:rPr>
          <w:rFonts w:hint="eastAsia"/>
          <w:color w:val="000000" w:themeColor="text1"/>
          <w:lang w:val="en-US" w:eastAsia="zh-CN"/>
          <w14:textFill>
            <w14:solidFill>
              <w14:schemeClr w14:val="tx1"/>
            </w14:solidFill>
          </w14:textFill>
        </w:rPr>
        <w:t>4 长沙年货物周转量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（2）共同配送模式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共同配送的核心在共同配送的组织主体对于城市配送需求进行整合，通过统筹安排以提高配送效率。因此，按照组织实施主体的不同，城市共同配送可以划分为以自营为主的共同配送和以第三方为主的共同配送。其中，以自营为主的共同配送又可以分为以供应商为主的共同配送、以零售商为主的共同配送；以第三方为主的共同配送分为第三方物流企业和政府为主的两种配送模式，如图5所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271770" cy="2470785"/>
            <wp:effectExtent l="0" t="0" r="5080" b="5715"/>
            <wp:docPr id="1073" name="图片 1"/>
            <wp:cNvGraphicFramePr/>
            <a:graphic xmlns:a="http://schemas.openxmlformats.org/drawingml/2006/main">
              <a:graphicData uri="http://schemas.openxmlformats.org/drawingml/2006/picture">
                <pic:pic xmlns:pic="http://schemas.openxmlformats.org/drawingml/2006/picture">
                  <pic:nvPicPr>
                    <pic:cNvPr id="1073" name="图片 1"/>
                    <pic:cNvPicPr/>
                  </pic:nvPicPr>
                  <pic:blipFill>
                    <a:blip r:embed="rId19" cstate="print"/>
                    <a:srcRect/>
                    <a:stretch>
                      <a:fillRect/>
                    </a:stretch>
                  </pic:blipFill>
                  <pic:spPr>
                    <a:xfrm>
                      <a:off x="0" y="0"/>
                      <a:ext cx="5271770" cy="2470785"/>
                    </a:xfrm>
                    <a:prstGeom prst="rect">
                      <a:avLst/>
                    </a:prstGeom>
                    <a:ln>
                      <a:noFill/>
                    </a:ln>
                  </pic:spPr>
                </pic:pic>
              </a:graphicData>
            </a:graphic>
          </wp:inline>
        </w:drawing>
      </w:r>
    </w:p>
    <w:p>
      <w:pPr>
        <w:pStyle w:val="4"/>
        <w:keepNext w:val="0"/>
        <w:keepLines w:val="0"/>
        <w:pageBreakBefore w:val="0"/>
        <w:kinsoku/>
        <w:wordWrap/>
        <w:overflowPunct/>
        <w:topLinePunct w:val="0"/>
        <w:autoSpaceDE/>
        <w:autoSpaceDN/>
        <w:bidi w:val="0"/>
        <w:adjustRightInd/>
        <w:snapToGrid/>
        <w:ind w:right="0" w:righ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eastAsia="zh-CN"/>
          <w14:textFill>
            <w14:solidFill>
              <w14:schemeClr w14:val="tx1"/>
            </w14:solidFill>
          </w14:textFill>
        </w:rPr>
        <w:t>图</w:t>
      </w:r>
      <w:r>
        <w:rPr>
          <w:rFonts w:hint="eastAsia"/>
          <w:color w:val="000000" w:themeColor="text1"/>
          <w:lang w:val="en-US" w:eastAsia="zh-CN"/>
          <w14:textFill>
            <w14:solidFill>
              <w14:schemeClr w14:val="tx1"/>
            </w14:solidFill>
          </w14:textFill>
        </w:rPr>
        <w:t>5 共同配送模式分类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3</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技术支持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中国经济正在转变为依靠优化经济结构和产业创新为核心驱动力来保持经济可持续发展，突出表现在以提质增效为特征的“新常态”。在经济新常态中，政府从政策层面大力推动智慧物流，消费升级、市场变革倒逼智慧物流创新发展，工业4.0、中国智造、互联网+等为传统生产与物流产业注入“智慧”基因，新技术的发展为智慧物流创造了条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eastAsia" w:ascii="宋体" w:hAnsi="宋体" w:eastAsia="宋体" w:cs="宋体"/>
          <w:b w:val="0"/>
          <w:i w:val="0"/>
          <w:caps w:val="0"/>
          <w:color w:val="000000" w:themeColor="text1"/>
          <w:spacing w:val="0"/>
          <w:sz w:val="24"/>
          <w:szCs w:val="24"/>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近年来，大数据、物联网、云计算、机器人、AR/VR、区块链等新技术驱动物流在模块化、自动化、信息化等方向持续、快速变化</w:t>
      </w:r>
      <w:r>
        <w:rPr>
          <w:rFonts w:hint="eastAsia" w:ascii="宋体" w:hAnsi="宋体" w:cs="宋体"/>
          <w:color w:val="000000" w:themeColor="text1"/>
          <w:sz w:val="24"/>
          <w:szCs w:val="24"/>
          <w:lang w:val="en-US" w:eastAsia="zh-CN"/>
          <w14:textFill>
            <w14:solidFill>
              <w14:schemeClr w14:val="tx1"/>
            </w14:solidFill>
          </w14:textFill>
        </w:rPr>
        <w:t>。</w:t>
      </w:r>
      <w:r>
        <w:rPr>
          <w:rFonts w:hint="eastAsia" w:ascii="宋体" w:hAnsi="宋体" w:eastAsia="宋体" w:cs="宋体"/>
          <w:b w:val="0"/>
          <w:i w:val="0"/>
          <w:caps w:val="0"/>
          <w:color w:val="000000" w:themeColor="text1"/>
          <w:spacing w:val="0"/>
          <w:kern w:val="0"/>
          <w:sz w:val="24"/>
          <w:szCs w:val="24"/>
          <w:lang w:val="en-US" w:eastAsia="zh-CN"/>
          <w14:textFill>
            <w14:solidFill>
              <w14:schemeClr w14:val="tx1"/>
            </w14:solidFill>
          </w14:textFill>
        </w:rPr>
        <w:t>物流需求正在变得更加多样化、个性化，未来将通过数字化技术，在横向的仓储、运输、配送等业务全流程，纵向的决策、计划、执行、监控、反馈的运营全过程中，根据实时需求进行动态化的决策，根据具有自学习、自适应能力的运营规则进行自主管理，并在信息系统中落地实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未来的物流运营配送将会在全链路智能排产和运营规则智能设置两方面体现。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cs="宋体"/>
          <w:b/>
          <w:bCs/>
          <w:color w:val="000000" w:themeColor="text1"/>
          <w:sz w:val="24"/>
          <w:szCs w:val="24"/>
          <w:lang w:val="en-US" w:eastAsia="zh-CN"/>
          <w14:textFill>
            <w14:solidFill>
              <w14:schemeClr w14:val="tx1"/>
            </w14:solidFill>
          </w14:textFill>
        </w:rPr>
      </w:pP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fldChar w:fldCharType="begin"/>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instrText xml:space="preserve">INCLUDEPICTURE \d "http://www.chinawuliu.com.cn/file/8(33).png" \* MERGEFORMATINET </w:instrText>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fldChar w:fldCharType="separate"/>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drawing>
          <wp:inline distT="0" distB="0" distL="0" distR="0">
            <wp:extent cx="5238750" cy="1914525"/>
            <wp:effectExtent l="0" t="0" r="0" b="0"/>
            <wp:docPr id="1074" name="图片 8"/>
            <wp:cNvGraphicFramePr/>
            <a:graphic xmlns:a="http://schemas.openxmlformats.org/drawingml/2006/main">
              <a:graphicData uri="http://schemas.openxmlformats.org/drawingml/2006/picture">
                <pic:pic xmlns:pic="http://schemas.openxmlformats.org/drawingml/2006/picture">
                  <pic:nvPicPr>
                    <pic:cNvPr id="1074" name="图片 8"/>
                    <pic:cNvPicPr/>
                  </pic:nvPicPr>
                  <pic:blipFill>
                    <a:blip r:embed="rId20" cstate="print"/>
                    <a:srcRect/>
                    <a:stretch>
                      <a:fillRect/>
                    </a:stretch>
                  </pic:blipFill>
                  <pic:spPr>
                    <a:xfrm>
                      <a:off x="0" y="0"/>
                      <a:ext cx="5238750" cy="1914525"/>
                    </a:xfrm>
                    <a:prstGeom prst="rect">
                      <a:avLst/>
                    </a:prstGeom>
                    <a:ln>
                      <a:noFill/>
                    </a:ln>
                  </pic:spPr>
                </pic:pic>
              </a:graphicData>
            </a:graphic>
          </wp:inline>
        </w:drawing>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fldChar w:fldCharType="end"/>
      </w:r>
    </w:p>
    <w:p>
      <w:pPr>
        <w:pStyle w:val="4"/>
        <w:keepNext w:val="0"/>
        <w:keepLines w:val="0"/>
        <w:pageBreakBefore w:val="0"/>
        <w:kinsoku/>
        <w:wordWrap/>
        <w:overflowPunct/>
        <w:topLinePunct w:val="0"/>
        <w:autoSpaceDE/>
        <w:autoSpaceDN/>
        <w:bidi w:val="0"/>
        <w:adjustRightInd/>
        <w:snapToGrid/>
        <w:ind w:right="0" w:rightChars="0" w:firstLine="480" w:firstLineChars="200"/>
        <w:textAlignment w:val="auto"/>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图5 全链路智能排产示例-订单生产及装车顺序智能编排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fldChar w:fldCharType="begin"/>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instrText xml:space="preserve">INCLUDEPICTURE \d "http://www.chinawuliu.com.cn/file/9(28).png" \* MERGEFORMATINET </w:instrText>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fldChar w:fldCharType="separate"/>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drawing>
          <wp:inline distT="0" distB="0" distL="0" distR="0">
            <wp:extent cx="5238750" cy="1714500"/>
            <wp:effectExtent l="0" t="0" r="0" b="0"/>
            <wp:docPr id="1075" name="图片 9"/>
            <wp:cNvGraphicFramePr/>
            <a:graphic xmlns:a="http://schemas.openxmlformats.org/drawingml/2006/main">
              <a:graphicData uri="http://schemas.openxmlformats.org/drawingml/2006/picture">
                <pic:pic xmlns:pic="http://schemas.openxmlformats.org/drawingml/2006/picture">
                  <pic:nvPicPr>
                    <pic:cNvPr id="1075" name="图片 9"/>
                    <pic:cNvPicPr/>
                  </pic:nvPicPr>
                  <pic:blipFill>
                    <a:blip r:embed="rId21" cstate="print"/>
                    <a:srcRect/>
                    <a:stretch>
                      <a:fillRect/>
                    </a:stretch>
                  </pic:blipFill>
                  <pic:spPr>
                    <a:xfrm>
                      <a:off x="0" y="0"/>
                      <a:ext cx="5238750" cy="1714500"/>
                    </a:xfrm>
                    <a:prstGeom prst="rect">
                      <a:avLst/>
                    </a:prstGeom>
                    <a:ln>
                      <a:noFill/>
                    </a:ln>
                  </pic:spPr>
                </pic:pic>
              </a:graphicData>
            </a:graphic>
          </wp:inline>
        </w:drawing>
      </w:r>
      <w:r>
        <w:rPr>
          <w:rFonts w:hint="eastAsia" w:ascii="宋体" w:hAnsi="宋体" w:eastAsia="宋体" w:cs="宋体"/>
          <w:b w:val="0"/>
          <w:i w:val="0"/>
          <w:caps w:val="0"/>
          <w:color w:val="000000" w:themeColor="text1"/>
          <w:spacing w:val="0"/>
          <w:kern w:val="0"/>
          <w:sz w:val="21"/>
          <w:szCs w:val="21"/>
          <w:lang w:val="en-US" w:eastAsia="zh-CN"/>
          <w14:textFill>
            <w14:solidFill>
              <w14:schemeClr w14:val="tx1"/>
            </w14:solidFill>
          </w14:textFill>
        </w:rPr>
        <w:fldChar w:fldCharType="end"/>
      </w:r>
    </w:p>
    <w:p>
      <w:pPr>
        <w:pStyle w:val="4"/>
        <w:keepNext w:val="0"/>
        <w:keepLines w:val="0"/>
        <w:pageBreakBefore w:val="0"/>
        <w:kinsoku/>
        <w:wordWrap/>
        <w:overflowPunct/>
        <w:topLinePunct w:val="0"/>
        <w:autoSpaceDE/>
        <w:autoSpaceDN/>
        <w:bidi w:val="0"/>
        <w:adjustRightInd/>
        <w:snapToGrid/>
        <w:ind w:right="0" w:rightChars="0" w:firstLine="480" w:firstLineChars="200"/>
        <w:textAlignment w:val="auto"/>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图6 运营规则智能设置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（4）园区</w:t>
      </w:r>
      <w:r>
        <w:rPr>
          <w:rFonts w:hint="eastAsia" w:ascii="宋体" w:hAnsi="宋体" w:cs="宋体"/>
          <w:b w:val="0"/>
          <w:bCs w:val="0"/>
          <w:color w:val="000000" w:themeColor="text1"/>
          <w:sz w:val="24"/>
          <w:szCs w:val="24"/>
          <w:lang w:val="en-US" w:eastAsia="zh-CN"/>
          <w14:textFill>
            <w14:solidFill>
              <w14:schemeClr w14:val="tx1"/>
            </w14:solidFill>
          </w14:textFill>
        </w:rPr>
        <w:t>发展</w:t>
      </w:r>
      <w:r>
        <w:rPr>
          <w:rFonts w:hint="eastAsia" w:ascii="宋体" w:hAnsi="宋体" w:eastAsia="宋体" w:cs="宋体"/>
          <w:b w:val="0"/>
          <w:bCs w:val="0"/>
          <w:color w:val="000000" w:themeColor="text1"/>
          <w:sz w:val="24"/>
          <w:szCs w:val="24"/>
          <w:lang w:val="en-US" w:eastAsia="zh-CN"/>
          <w14:textFill>
            <w14:solidFill>
              <w14:schemeClr w14:val="tx1"/>
            </w14:solidFill>
          </w14:textFill>
        </w:rPr>
        <w:t>共同配送</w:t>
      </w:r>
      <w:r>
        <w:rPr>
          <w:rFonts w:hint="eastAsia" w:ascii="宋体" w:hAnsi="宋体" w:cs="宋体"/>
          <w:b w:val="0"/>
          <w:bCs w:val="0"/>
          <w:color w:val="000000" w:themeColor="text1"/>
          <w:sz w:val="24"/>
          <w:szCs w:val="24"/>
          <w:lang w:val="en-US" w:eastAsia="zh-CN"/>
          <w14:textFill>
            <w14:solidFill>
              <w14:schemeClr w14:val="tx1"/>
            </w14:solidFill>
          </w14:textFill>
        </w:rPr>
        <w:t>的条件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随着</w:t>
      </w:r>
      <w:r>
        <w:rPr>
          <w:rFonts w:hint="eastAsia" w:ascii="宋体" w:hAnsi="宋体" w:cs="宋体"/>
          <w:b w:val="0"/>
          <w:bCs w:val="0"/>
          <w:color w:val="000000" w:themeColor="text1"/>
          <w:sz w:val="24"/>
          <w:szCs w:val="24"/>
          <w:lang w:val="en-US" w:eastAsia="zh-CN"/>
          <w14:textFill>
            <w14:solidFill>
              <w14:schemeClr w14:val="tx1"/>
            </w14:solidFill>
          </w14:textFill>
        </w:rPr>
        <w:t>园区的不断发展</w:t>
      </w:r>
      <w:r>
        <w:rPr>
          <w:rFonts w:hint="eastAsia" w:ascii="宋体" w:hAnsi="宋体" w:eastAsia="宋体" w:cs="宋体"/>
          <w:b w:val="0"/>
          <w:bCs w:val="0"/>
          <w:color w:val="000000" w:themeColor="text1"/>
          <w:sz w:val="24"/>
          <w:szCs w:val="24"/>
          <w:lang w:val="en-US" w:eastAsia="zh-CN"/>
          <w14:textFill>
            <w14:solidFill>
              <w14:schemeClr w14:val="tx1"/>
            </w14:solidFill>
          </w14:textFill>
        </w:rPr>
        <w:t>，货物运输量</w:t>
      </w:r>
      <w:r>
        <w:rPr>
          <w:rFonts w:hint="eastAsia" w:ascii="宋体" w:hAnsi="宋体" w:cs="宋体"/>
          <w:b w:val="0"/>
          <w:bCs w:val="0"/>
          <w:color w:val="000000" w:themeColor="text1"/>
          <w:sz w:val="24"/>
          <w:szCs w:val="24"/>
          <w:lang w:val="en-US" w:eastAsia="zh-CN"/>
          <w14:textFill>
            <w14:solidFill>
              <w14:schemeClr w14:val="tx1"/>
            </w14:solidFill>
          </w14:textFill>
        </w:rPr>
        <w:t>必然</w:t>
      </w:r>
      <w:r>
        <w:rPr>
          <w:rFonts w:hint="eastAsia" w:ascii="宋体" w:hAnsi="宋体" w:eastAsia="宋体" w:cs="宋体"/>
          <w:b w:val="0"/>
          <w:bCs w:val="0"/>
          <w:color w:val="000000" w:themeColor="text1"/>
          <w:sz w:val="24"/>
          <w:szCs w:val="24"/>
          <w:lang w:val="en-US" w:eastAsia="zh-CN"/>
          <w14:textFill>
            <w14:solidFill>
              <w14:schemeClr w14:val="tx1"/>
            </w14:solidFill>
          </w14:textFill>
        </w:rPr>
        <w:t>上升，商品流速度</w:t>
      </w:r>
      <w:r>
        <w:rPr>
          <w:rFonts w:hint="eastAsia" w:ascii="宋体" w:hAnsi="宋体" w:cs="宋体"/>
          <w:b w:val="0"/>
          <w:bCs w:val="0"/>
          <w:color w:val="000000" w:themeColor="text1"/>
          <w:sz w:val="24"/>
          <w:szCs w:val="24"/>
          <w:lang w:val="en-US" w:eastAsia="zh-CN"/>
          <w14:textFill>
            <w14:solidFill>
              <w14:schemeClr w14:val="tx1"/>
            </w14:solidFill>
          </w14:textFill>
        </w:rPr>
        <w:t>必然</w:t>
      </w:r>
      <w:r>
        <w:rPr>
          <w:rFonts w:hint="eastAsia" w:ascii="宋体" w:hAnsi="宋体" w:eastAsia="宋体" w:cs="宋体"/>
          <w:b w:val="0"/>
          <w:bCs w:val="0"/>
          <w:color w:val="000000" w:themeColor="text1"/>
          <w:sz w:val="24"/>
          <w:szCs w:val="24"/>
          <w:lang w:val="en-US" w:eastAsia="zh-CN"/>
          <w14:textFill>
            <w14:solidFill>
              <w14:schemeClr w14:val="tx1"/>
            </w14:solidFill>
          </w14:textFill>
        </w:rPr>
        <w:t>加快，从而要求</w:t>
      </w:r>
      <w:r>
        <w:rPr>
          <w:rFonts w:hint="eastAsia" w:ascii="宋体" w:hAnsi="宋体" w:cs="宋体"/>
          <w:b w:val="0"/>
          <w:bCs w:val="0"/>
          <w:color w:val="000000" w:themeColor="text1"/>
          <w:sz w:val="24"/>
          <w:szCs w:val="24"/>
          <w:lang w:val="en-US" w:eastAsia="zh-CN"/>
          <w14:textFill>
            <w14:solidFill>
              <w14:schemeClr w14:val="tx1"/>
            </w14:solidFill>
          </w14:textFill>
        </w:rPr>
        <w:t>园区</w:t>
      </w:r>
      <w:r>
        <w:rPr>
          <w:rFonts w:hint="eastAsia" w:ascii="宋体" w:hAnsi="宋体" w:eastAsia="宋体" w:cs="宋体"/>
          <w:b w:val="0"/>
          <w:bCs w:val="0"/>
          <w:color w:val="000000" w:themeColor="text1"/>
          <w:sz w:val="24"/>
          <w:szCs w:val="24"/>
          <w:lang w:val="en-US" w:eastAsia="zh-CN"/>
          <w14:textFill>
            <w14:solidFill>
              <w14:schemeClr w14:val="tx1"/>
            </w14:solidFill>
          </w14:textFill>
        </w:rPr>
        <w:t>物流能力与效率相应提高。如果每家企业都建立自己的配送网络和设施，很容易出现在客户较多的地区物流设施能力不足</w:t>
      </w:r>
      <w:r>
        <w:rPr>
          <w:rFonts w:hint="eastAsia" w:ascii="宋体" w:hAnsi="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导致资源无法合理分配和利用造成浪费。可以说，经济高速发展使传统的企业独立完成物流配送的方式受到冲击，在成本不断上升的情况下，客观上要求</w:t>
      </w:r>
      <w:r>
        <w:rPr>
          <w:rFonts w:hint="eastAsia" w:ascii="宋体" w:hAnsi="宋体" w:cs="宋体"/>
          <w:b w:val="0"/>
          <w:bCs w:val="0"/>
          <w:color w:val="000000" w:themeColor="text1"/>
          <w:sz w:val="24"/>
          <w:szCs w:val="24"/>
          <w:lang w:val="en-US" w:eastAsia="zh-CN"/>
          <w14:textFill>
            <w14:solidFill>
              <w14:schemeClr w14:val="tx1"/>
            </w14:solidFill>
          </w14:textFill>
        </w:rPr>
        <w:t>园区</w:t>
      </w:r>
      <w:r>
        <w:rPr>
          <w:rFonts w:hint="eastAsia" w:ascii="宋体" w:hAnsi="宋体" w:eastAsia="宋体" w:cs="宋体"/>
          <w:b w:val="0"/>
          <w:bCs w:val="0"/>
          <w:color w:val="000000" w:themeColor="text1"/>
          <w:sz w:val="24"/>
          <w:szCs w:val="24"/>
          <w:lang w:val="en-US" w:eastAsia="zh-CN"/>
          <w14:textFill>
            <w14:solidFill>
              <w14:schemeClr w14:val="tx1"/>
            </w14:solidFill>
          </w14:textFill>
        </w:rPr>
        <w:t>引入一种高效率低成本的配送方式。同时，</w:t>
      </w:r>
      <w:r>
        <w:rPr>
          <w:rFonts w:hint="eastAsia" w:ascii="宋体" w:hAnsi="宋体" w:cs="宋体"/>
          <w:b w:val="0"/>
          <w:bCs w:val="0"/>
          <w:color w:val="000000" w:themeColor="text1"/>
          <w:sz w:val="24"/>
          <w:szCs w:val="24"/>
          <w:lang w:val="en-US" w:eastAsia="zh-CN"/>
          <w14:textFill>
            <w14:solidFill>
              <w14:schemeClr w14:val="tx1"/>
            </w14:solidFill>
          </w14:textFill>
        </w:rPr>
        <w:t>入园企业</w:t>
      </w:r>
      <w:r>
        <w:rPr>
          <w:rFonts w:hint="eastAsia" w:ascii="宋体" w:hAnsi="宋体" w:eastAsia="宋体" w:cs="宋体"/>
          <w:b w:val="0"/>
          <w:bCs w:val="0"/>
          <w:color w:val="000000" w:themeColor="text1"/>
          <w:sz w:val="24"/>
          <w:szCs w:val="24"/>
          <w:lang w:val="en-US" w:eastAsia="zh-CN"/>
          <w14:textFill>
            <w14:solidFill>
              <w14:schemeClr w14:val="tx1"/>
            </w14:solidFill>
          </w14:textFill>
        </w:rPr>
        <w:t>对货物配送的及时性要求更高，从而导致发货频率增高，而发货频率增高就引发了许多社会问题，例如道路拥挤、交通混乱、环境噪音及车辆废气排放严重等。</w:t>
      </w:r>
      <w:r>
        <w:rPr>
          <w:rFonts w:hint="eastAsia" w:ascii="宋体" w:hAnsi="宋体" w:eastAsia="宋体" w:cs="宋体"/>
          <w:b w:val="0"/>
          <w:i w:val="0"/>
          <w:caps w:val="0"/>
          <w:color w:val="000000" w:themeColor="text1"/>
          <w:spacing w:val="0"/>
          <w:sz w:val="24"/>
          <w:szCs w:val="24"/>
          <w:lang w:eastAsia="zh-CN"/>
          <w14:textFill>
            <w14:solidFill>
              <w14:schemeClr w14:val="tx1"/>
            </w14:solidFill>
          </w14:textFill>
        </w:rPr>
        <w:t>为了实现利益最大化，成本集约化，共同配送在长沙医药健康产业园区的实施，</w:t>
      </w:r>
      <w:r>
        <w:rPr>
          <w:rFonts w:hint="eastAsia" w:ascii="宋体" w:hAnsi="宋体" w:eastAsia="宋体" w:cs="宋体"/>
          <w:b w:val="0"/>
          <w:bCs w:val="0"/>
          <w:color w:val="000000" w:themeColor="text1"/>
          <w:sz w:val="24"/>
          <w:szCs w:val="24"/>
          <w:lang w:val="en-US" w:eastAsia="zh-CN"/>
          <w14:textFill>
            <w14:solidFill>
              <w14:schemeClr w14:val="tx1"/>
            </w14:solidFill>
          </w14:textFill>
        </w:rPr>
        <w:t>可以大大减少配送车辆，自然有利于缓解上述问题。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color w:val="000000" w:themeColor="text1"/>
          <w:kern w:val="0"/>
          <w:sz w:val="24"/>
          <w:szCs w:val="24"/>
          <w:lang w:val="en-US" w:eastAsia="zh-CN"/>
          <w14:textFill>
            <w14:solidFill>
              <w14:schemeClr w14:val="tx1"/>
            </w14:solidFill>
          </w14:textFill>
        </w:rPr>
      </w:pPr>
      <w:r>
        <w:rPr>
          <w:rFonts w:hint="eastAsia" w:ascii="宋体" w:hAnsi="宋体" w:cs="宋体"/>
          <w:b w:val="0"/>
          <w:bCs w:val="0"/>
          <w:color w:val="000000" w:themeColor="text1"/>
          <w:sz w:val="24"/>
          <w:szCs w:val="24"/>
          <w:lang w:val="en-US" w:eastAsia="zh-CN"/>
          <w14:textFill>
            <w14:solidFill>
              <w14:schemeClr w14:val="tx1"/>
            </w14:solidFill>
          </w14:textFill>
        </w:rPr>
        <w:t>优势：①业务协同。长沙医药健康产业园是湖南省首家医药健康产业主题园区</w:t>
      </w:r>
      <w:r>
        <w:rPr>
          <w:rFonts w:hint="eastAsia" w:ascii="宋体" w:hAnsi="宋体" w:eastAsia="宋体" w:cs="宋体"/>
          <w:b w:val="0"/>
          <w:bCs w:val="0"/>
          <w:color w:val="000000" w:themeColor="text1"/>
          <w:sz w:val="24"/>
          <w:szCs w:val="24"/>
          <w:lang w:val="en-US" w:eastAsia="zh-CN"/>
          <w14:textFill>
            <w14:solidFill>
              <w14:schemeClr w14:val="tx1"/>
            </w14:solidFill>
          </w14:textFill>
        </w:rPr>
        <w:t>，随着</w:t>
      </w:r>
      <w:r>
        <w:rPr>
          <w:rFonts w:hint="eastAsia" w:ascii="宋体" w:hAnsi="宋体" w:cs="宋体"/>
          <w:b w:val="0"/>
          <w:bCs w:val="0"/>
          <w:color w:val="000000" w:themeColor="text1"/>
          <w:sz w:val="24"/>
          <w:szCs w:val="24"/>
          <w:lang w:val="en-US" w:eastAsia="zh-CN"/>
          <w14:textFill>
            <w14:solidFill>
              <w14:schemeClr w14:val="tx1"/>
            </w14:solidFill>
          </w14:textFill>
        </w:rPr>
        <w:t>入住的医药企业</w:t>
      </w:r>
      <w:r>
        <w:rPr>
          <w:rFonts w:hint="eastAsia" w:ascii="宋体" w:hAnsi="宋体" w:eastAsia="宋体" w:cs="宋体"/>
          <w:b w:val="0"/>
          <w:bCs w:val="0"/>
          <w:color w:val="000000" w:themeColor="text1"/>
          <w:sz w:val="24"/>
          <w:szCs w:val="24"/>
          <w:lang w:val="en-US" w:eastAsia="zh-CN"/>
          <w14:textFill>
            <w14:solidFill>
              <w14:schemeClr w14:val="tx1"/>
            </w14:solidFill>
          </w14:textFill>
        </w:rPr>
        <w:t>越来越多，</w:t>
      </w:r>
      <w:r>
        <w:rPr>
          <w:rFonts w:hint="eastAsia" w:ascii="宋体" w:hAnsi="宋体" w:cs="宋体"/>
          <w:b w:val="0"/>
          <w:bCs w:val="0"/>
          <w:color w:val="000000" w:themeColor="text1"/>
          <w:sz w:val="24"/>
          <w:szCs w:val="24"/>
          <w:lang w:val="en-US" w:eastAsia="zh-CN"/>
          <w14:textFill>
            <w14:solidFill>
              <w14:schemeClr w14:val="tx1"/>
            </w14:solidFill>
          </w14:textFill>
        </w:rPr>
        <w:t>园区</w:t>
      </w:r>
      <w:r>
        <w:rPr>
          <w:rFonts w:hint="eastAsia" w:ascii="宋体" w:hAnsi="宋体" w:eastAsia="宋体" w:cs="宋体"/>
          <w:b w:val="0"/>
          <w:bCs w:val="0"/>
          <w:color w:val="000000" w:themeColor="text1"/>
          <w:sz w:val="24"/>
          <w:szCs w:val="24"/>
          <w:lang w:val="en-US" w:eastAsia="zh-CN"/>
          <w14:textFill>
            <w14:solidFill>
              <w14:schemeClr w14:val="tx1"/>
            </w14:solidFill>
          </w14:textFill>
        </w:rPr>
        <w:t>行业集中度也会越来越</w:t>
      </w:r>
      <w:r>
        <w:rPr>
          <w:rFonts w:hint="eastAsia" w:ascii="宋体" w:hAnsi="宋体" w:cs="宋体"/>
          <w:b w:val="0"/>
          <w:bCs w:val="0"/>
          <w:color w:val="000000" w:themeColor="text1"/>
          <w:sz w:val="24"/>
          <w:szCs w:val="24"/>
          <w:lang w:val="en-US" w:eastAsia="zh-CN"/>
          <w14:textFill>
            <w14:solidFill>
              <w14:schemeClr w14:val="tx1"/>
            </w14:solidFill>
          </w14:textFill>
        </w:rPr>
        <w:t>高</w:t>
      </w:r>
      <w:r>
        <w:rPr>
          <w:rFonts w:hint="eastAsia" w:ascii="宋体" w:hAnsi="宋体" w:eastAsia="宋体" w:cs="宋体"/>
          <w:b w:val="0"/>
          <w:bCs w:val="0"/>
          <w:color w:val="000000" w:themeColor="text1"/>
          <w:sz w:val="24"/>
          <w:szCs w:val="24"/>
          <w:lang w:val="en-US" w:eastAsia="zh-CN"/>
          <w14:textFill>
            <w14:solidFill>
              <w14:schemeClr w14:val="tx1"/>
            </w14:solidFill>
          </w14:textFill>
        </w:rPr>
        <w:t>，并形成一定规模和专业能力</w:t>
      </w:r>
      <w:r>
        <w:rPr>
          <w:rFonts w:hint="eastAsia" w:ascii="宋体" w:hAnsi="宋体" w:cs="宋体"/>
          <w:b w:val="0"/>
          <w:bCs w:val="0"/>
          <w:color w:val="000000" w:themeColor="text1"/>
          <w:sz w:val="24"/>
          <w:szCs w:val="24"/>
          <w:lang w:val="en-US" w:eastAsia="zh-CN"/>
          <w14:textFill>
            <w14:solidFill>
              <w14:schemeClr w14:val="tx1"/>
            </w14:solidFill>
          </w14:textFill>
        </w:rPr>
        <w:t>，</w:t>
      </w:r>
      <w:r>
        <w:rPr>
          <w:rFonts w:hint="eastAsia" w:ascii="宋体" w:hAnsi="宋体" w:eastAsia="宋体" w:cs="宋体"/>
          <w:b w:val="0"/>
          <w:bCs w:val="0"/>
          <w:color w:val="000000" w:themeColor="text1"/>
          <w:sz w:val="24"/>
          <w:szCs w:val="24"/>
          <w:lang w:val="en-US" w:eastAsia="zh-CN"/>
          <w14:textFill>
            <w14:solidFill>
              <w14:schemeClr w14:val="tx1"/>
            </w14:solidFill>
          </w14:textFill>
        </w:rPr>
        <w:t>采用第三方配送模式，</w:t>
      </w:r>
      <w:r>
        <w:rPr>
          <w:rFonts w:hint="eastAsia" w:ascii="宋体" w:hAnsi="宋体" w:cs="宋体"/>
          <w:b w:val="0"/>
          <w:bCs w:val="0"/>
          <w:color w:val="000000" w:themeColor="text1"/>
          <w:sz w:val="24"/>
          <w:szCs w:val="24"/>
          <w:lang w:val="en-US" w:eastAsia="zh-CN"/>
          <w14:textFill>
            <w14:solidFill>
              <w14:schemeClr w14:val="tx1"/>
            </w14:solidFill>
          </w14:textFill>
        </w:rPr>
        <w:t>入住</w:t>
      </w:r>
      <w:r>
        <w:rPr>
          <w:rFonts w:hint="eastAsia" w:ascii="宋体" w:hAnsi="宋体" w:eastAsia="宋体" w:cs="宋体"/>
          <w:b w:val="0"/>
          <w:bCs w:val="0"/>
          <w:color w:val="000000" w:themeColor="text1"/>
          <w:sz w:val="24"/>
          <w:szCs w:val="24"/>
          <w:lang w:val="en-US" w:eastAsia="zh-CN"/>
          <w14:textFill>
            <w14:solidFill>
              <w14:schemeClr w14:val="tx1"/>
            </w14:solidFill>
          </w14:textFill>
        </w:rPr>
        <w:t>企业面对</w:t>
      </w:r>
      <w:r>
        <w:rPr>
          <w:rFonts w:hint="eastAsia" w:ascii="宋体" w:hAnsi="宋体" w:cs="宋体"/>
          <w:b w:val="0"/>
          <w:bCs w:val="0"/>
          <w:color w:val="000000" w:themeColor="text1"/>
          <w:sz w:val="24"/>
          <w:szCs w:val="24"/>
          <w:lang w:val="en-US" w:eastAsia="zh-CN"/>
          <w14:textFill>
            <w14:solidFill>
              <w14:schemeClr w14:val="tx1"/>
            </w14:solidFill>
          </w14:textFill>
        </w:rPr>
        <w:t>的</w:t>
      </w:r>
      <w:r>
        <w:rPr>
          <w:rFonts w:hint="eastAsia" w:ascii="宋体" w:hAnsi="宋体" w:eastAsia="宋体" w:cs="宋体"/>
          <w:b w:val="0"/>
          <w:bCs w:val="0"/>
          <w:color w:val="000000" w:themeColor="text1"/>
          <w:sz w:val="24"/>
          <w:szCs w:val="24"/>
          <w:lang w:val="en-US" w:eastAsia="zh-CN"/>
          <w14:textFill>
            <w14:solidFill>
              <w14:schemeClr w14:val="tx1"/>
            </w14:solidFill>
          </w14:textFill>
        </w:rPr>
        <w:t>成本支出</w:t>
      </w:r>
      <w:r>
        <w:rPr>
          <w:rFonts w:hint="eastAsia" w:ascii="宋体" w:hAnsi="宋体" w:cs="宋体"/>
          <w:b w:val="0"/>
          <w:bCs w:val="0"/>
          <w:color w:val="000000" w:themeColor="text1"/>
          <w:sz w:val="24"/>
          <w:szCs w:val="24"/>
          <w:lang w:val="en-US" w:eastAsia="zh-CN"/>
          <w14:textFill>
            <w14:solidFill>
              <w14:schemeClr w14:val="tx1"/>
            </w14:solidFill>
          </w14:textFill>
        </w:rPr>
        <w:t>会降低</w:t>
      </w:r>
      <w:r>
        <w:rPr>
          <w:rFonts w:hint="eastAsia" w:ascii="宋体" w:hAnsi="宋体" w:eastAsia="宋体" w:cs="宋体"/>
          <w:b w:val="0"/>
          <w:bCs w:val="0"/>
          <w:color w:val="000000" w:themeColor="text1"/>
          <w:sz w:val="24"/>
          <w:szCs w:val="24"/>
          <w:lang w:val="en-US" w:eastAsia="zh-CN"/>
          <w14:textFill>
            <w14:solidFill>
              <w14:schemeClr w14:val="tx1"/>
            </w14:solidFill>
          </w14:textFill>
        </w:rPr>
        <w:t>，而且</w:t>
      </w:r>
      <w:r>
        <w:rPr>
          <w:rFonts w:hint="eastAsia" w:ascii="宋体" w:hAnsi="宋体" w:cs="宋体"/>
          <w:b w:val="0"/>
          <w:bCs w:val="0"/>
          <w:color w:val="000000" w:themeColor="text1"/>
          <w:sz w:val="24"/>
          <w:szCs w:val="24"/>
          <w:lang w:val="en-US" w:eastAsia="zh-CN"/>
          <w14:textFill>
            <w14:solidFill>
              <w14:schemeClr w14:val="tx1"/>
            </w14:solidFill>
          </w14:textFill>
        </w:rPr>
        <w:t>园区有</w:t>
      </w:r>
      <w:r>
        <w:rPr>
          <w:rFonts w:hint="eastAsia" w:ascii="宋体" w:hAnsi="宋体" w:eastAsia="宋体" w:cs="宋体"/>
          <w:b w:val="0"/>
          <w:bCs w:val="0"/>
          <w:color w:val="000000" w:themeColor="text1"/>
          <w:sz w:val="24"/>
          <w:szCs w:val="24"/>
          <w:lang w:val="en-US" w:eastAsia="zh-CN"/>
          <w14:textFill>
            <w14:solidFill>
              <w14:schemeClr w14:val="tx1"/>
            </w14:solidFill>
          </w14:textFill>
        </w:rPr>
        <w:t>专门人员去协调管理物流服务商，</w:t>
      </w:r>
      <w:r>
        <w:rPr>
          <w:rFonts w:hint="eastAsia" w:ascii="宋体" w:hAnsi="宋体" w:cs="宋体"/>
          <w:b w:val="0"/>
          <w:bCs w:val="0"/>
          <w:color w:val="000000" w:themeColor="text1"/>
          <w:sz w:val="24"/>
          <w:szCs w:val="24"/>
          <w:lang w:val="en-US" w:eastAsia="zh-CN"/>
          <w14:textFill>
            <w14:solidFill>
              <w14:schemeClr w14:val="tx1"/>
            </w14:solidFill>
          </w14:textFill>
        </w:rPr>
        <w:t>降低了</w:t>
      </w:r>
      <w:r>
        <w:rPr>
          <w:rFonts w:hint="eastAsia" w:ascii="宋体" w:hAnsi="宋体" w:eastAsia="宋体" w:cs="宋体"/>
          <w:b w:val="0"/>
          <w:bCs w:val="0"/>
          <w:color w:val="000000" w:themeColor="text1"/>
          <w:sz w:val="24"/>
          <w:szCs w:val="24"/>
          <w:lang w:val="en-US" w:eastAsia="zh-CN"/>
          <w14:textFill>
            <w14:solidFill>
              <w14:schemeClr w14:val="tx1"/>
            </w14:solidFill>
          </w14:textFill>
        </w:rPr>
        <w:t>管理成本。②技术协同。从技术层面来看，发展共同配送必须要有配送中心来支撑高效的物流运作，</w:t>
      </w:r>
      <w:r>
        <w:rPr>
          <w:rFonts w:hint="eastAsia" w:ascii="宋体" w:hAnsi="宋体" w:cs="宋体"/>
          <w:b w:val="0"/>
          <w:bCs w:val="0"/>
          <w:color w:val="000000" w:themeColor="text1"/>
          <w:sz w:val="24"/>
          <w:szCs w:val="24"/>
          <w:lang w:val="en-US" w:eastAsia="zh-CN"/>
          <w14:textFill>
            <w14:solidFill>
              <w14:schemeClr w14:val="tx1"/>
            </w14:solidFill>
          </w14:textFill>
        </w:rPr>
        <w:t>长沙医药健康产业园是在</w:t>
      </w:r>
      <w:r>
        <w:rPr>
          <w:rFonts w:hint="eastAsia" w:ascii="宋体" w:hAnsi="宋体" w:eastAsia="宋体" w:cs="宋体"/>
          <w:b w:val="0"/>
          <w:bCs w:val="0"/>
          <w:color w:val="000000" w:themeColor="text1"/>
          <w:sz w:val="24"/>
          <w:szCs w:val="24"/>
          <w:lang w:val="en-US" w:eastAsia="zh-CN"/>
          <w14:textFill>
            <w14:solidFill>
              <w14:schemeClr w14:val="tx1"/>
            </w14:solidFill>
          </w14:textFill>
        </w:rPr>
        <w:t>长沙市食品药品监督管理局与长沙金霞经济开发区的共同支持下建立的，金霞拥有</w:t>
      </w:r>
      <w:r>
        <w:rPr>
          <w:rFonts w:hint="eastAsia" w:ascii="宋体" w:hAnsi="宋体" w:eastAsia="宋体" w:cs="宋体"/>
          <w:color w:val="000000" w:themeColor="text1"/>
          <w:kern w:val="0"/>
          <w:sz w:val="24"/>
          <w:szCs w:val="24"/>
          <w14:textFill>
            <w14:solidFill>
              <w14:schemeClr w14:val="tx1"/>
            </w14:solidFill>
          </w14:textFill>
        </w:rPr>
        <w:t>引领中部快速步入商贸流通</w:t>
      </w:r>
      <w:r>
        <w:rPr>
          <w:rFonts w:hint="eastAsia" w:ascii="宋体" w:hAnsi="宋体" w:eastAsia="宋体" w:cs="宋体"/>
          <w:color w:val="000000" w:themeColor="text1"/>
          <w:kern w:val="0"/>
          <w:sz w:val="24"/>
          <w:szCs w:val="24"/>
          <w:lang w:val="en-US" w:eastAsia="zh-CN"/>
          <w14:textFill>
            <w14:solidFill>
              <w14:schemeClr w14:val="tx1"/>
            </w14:solidFill>
          </w14:textFill>
        </w:rPr>
        <w:t>4.0时代的战略决策和成熟的物流技术支撑。③资源协同。在共同配送的人员的数量、质量、能力及协同态度上和固定设施（配送中心）和移动设备（配送车辆及装卸搬运机械等）上园区可以保障。④环境协同。长沙的基础设施环境近些年来在不断改善。同时政府相关部门也给予了一些政策和资金上的支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劣势：①由于园区内同为医药企业，企业之间都是竞争对手关系，作为竞争对手，这些企业往往不愿利用自己的物流系统去提升对手的配送效率和竞争力。②但在配送中心的规划设计上，大多数企业都是根据自身需求和业务考虑配送中心的规模、布局及相关设施的配备。</w:t>
      </w:r>
      <w:r>
        <w:rPr>
          <w:rFonts w:hint="eastAsia" w:ascii="宋体" w:hAnsi="宋体" w:cs="宋体"/>
          <w:b w:val="0"/>
          <w:bCs w:val="0"/>
          <w:color w:val="000000" w:themeColor="text1"/>
          <w:sz w:val="24"/>
          <w:szCs w:val="24"/>
          <w:lang w:val="en-US" w:eastAsia="zh-CN"/>
          <w14:textFill>
            <w14:solidFill>
              <w14:schemeClr w14:val="tx1"/>
            </w14:solidFill>
          </w14:textFill>
        </w:rPr>
        <w:t>园区的</w:t>
      </w:r>
      <w:r>
        <w:rPr>
          <w:rFonts w:hint="eastAsia" w:ascii="宋体" w:hAnsi="宋体" w:eastAsia="宋体" w:cs="宋体"/>
          <w:b w:val="0"/>
          <w:bCs w:val="0"/>
          <w:color w:val="000000" w:themeColor="text1"/>
          <w:sz w:val="24"/>
          <w:szCs w:val="24"/>
          <w:lang w:val="en-US" w:eastAsia="zh-CN"/>
          <w14:textFill>
            <w14:solidFill>
              <w14:schemeClr w14:val="tx1"/>
            </w14:solidFill>
          </w14:textFill>
        </w:rPr>
        <w:t>配送中心设计就</w:t>
      </w:r>
      <w:r>
        <w:rPr>
          <w:rFonts w:hint="eastAsia" w:ascii="宋体" w:hAnsi="宋体" w:cs="宋体"/>
          <w:b w:val="0"/>
          <w:bCs w:val="0"/>
          <w:color w:val="000000" w:themeColor="text1"/>
          <w:sz w:val="24"/>
          <w:szCs w:val="24"/>
          <w:lang w:val="en-US" w:eastAsia="zh-CN"/>
          <w14:textFill>
            <w14:solidFill>
              <w14:schemeClr w14:val="tx1"/>
            </w14:solidFill>
          </w14:textFill>
        </w:rPr>
        <w:t>需要</w:t>
      </w:r>
      <w:r>
        <w:rPr>
          <w:rFonts w:hint="eastAsia" w:ascii="宋体" w:hAnsi="宋体" w:eastAsia="宋体" w:cs="宋体"/>
          <w:b w:val="0"/>
          <w:bCs w:val="0"/>
          <w:color w:val="000000" w:themeColor="text1"/>
          <w:sz w:val="24"/>
          <w:szCs w:val="24"/>
          <w:lang w:val="en-US" w:eastAsia="zh-CN"/>
          <w14:textFill>
            <w14:solidFill>
              <w14:schemeClr w14:val="tx1"/>
            </w14:solidFill>
          </w14:textFill>
        </w:rPr>
        <w:t>充分考虑到为其他企业承担共同配送任务，</w:t>
      </w:r>
      <w:r>
        <w:rPr>
          <w:rFonts w:hint="eastAsia" w:ascii="宋体" w:hAnsi="宋体" w:cs="宋体"/>
          <w:b w:val="0"/>
          <w:bCs w:val="0"/>
          <w:color w:val="000000" w:themeColor="text1"/>
          <w:sz w:val="24"/>
          <w:szCs w:val="24"/>
          <w:lang w:val="en-US" w:eastAsia="zh-CN"/>
          <w14:textFill>
            <w14:solidFill>
              <w14:schemeClr w14:val="tx1"/>
            </w14:solidFill>
          </w14:textFill>
        </w:rPr>
        <w:t>这将会是一个复杂的设计过程</w:t>
      </w:r>
      <w:r>
        <w:rPr>
          <w:rFonts w:hint="eastAsia" w:ascii="宋体" w:hAnsi="宋体" w:eastAsia="宋体" w:cs="宋体"/>
          <w:b w:val="0"/>
          <w:bCs w:val="0"/>
          <w:color w:val="000000" w:themeColor="text1"/>
          <w:sz w:val="24"/>
          <w:szCs w:val="24"/>
          <w:lang w:val="en-US" w:eastAsia="zh-CN"/>
          <w14:textFill>
            <w14:solidFill>
              <w14:schemeClr w14:val="tx1"/>
            </w14:solidFill>
          </w14:textFill>
        </w:rPr>
        <w:t>。③</w:t>
      </w:r>
      <w:r>
        <w:rPr>
          <w:rFonts w:hint="eastAsia" w:ascii="宋体" w:hAnsi="宋体" w:cs="宋体"/>
          <w:b w:val="0"/>
          <w:bCs w:val="0"/>
          <w:color w:val="000000" w:themeColor="text1"/>
          <w:sz w:val="24"/>
          <w:szCs w:val="24"/>
          <w:lang w:val="en-US" w:eastAsia="zh-CN"/>
          <w14:textFill>
            <w14:solidFill>
              <w14:schemeClr w14:val="tx1"/>
            </w14:solidFill>
          </w14:textFill>
        </w:rPr>
        <w:t>长沙医药健康产业园</w:t>
      </w:r>
      <w:r>
        <w:rPr>
          <w:rFonts w:hint="eastAsia" w:ascii="宋体" w:hAnsi="宋体" w:eastAsia="宋体" w:cs="宋体"/>
          <w:b w:val="0"/>
          <w:bCs w:val="0"/>
          <w:color w:val="000000" w:themeColor="text1"/>
          <w:sz w:val="24"/>
          <w:szCs w:val="24"/>
          <w:lang w:val="en-US" w:eastAsia="zh-CN"/>
          <w14:textFill>
            <w14:solidFill>
              <w14:schemeClr w14:val="tx1"/>
            </w14:solidFill>
          </w14:textFill>
        </w:rPr>
        <w:t>物流共同配送的建设，在很大程度上也依赖城市交通系统的完善和便捷。但从目前</w:t>
      </w:r>
      <w:r>
        <w:rPr>
          <w:rFonts w:hint="eastAsia" w:ascii="宋体" w:hAnsi="宋体" w:cs="宋体"/>
          <w:b w:val="0"/>
          <w:bCs w:val="0"/>
          <w:color w:val="000000" w:themeColor="text1"/>
          <w:sz w:val="24"/>
          <w:szCs w:val="24"/>
          <w:lang w:val="en-US" w:eastAsia="zh-CN"/>
          <w14:textFill>
            <w14:solidFill>
              <w14:schemeClr w14:val="tx1"/>
            </w14:solidFill>
          </w14:textFill>
        </w:rPr>
        <w:t>长沙</w:t>
      </w:r>
      <w:r>
        <w:rPr>
          <w:rFonts w:hint="eastAsia" w:ascii="宋体" w:hAnsi="宋体" w:eastAsia="宋体" w:cs="宋体"/>
          <w:b w:val="0"/>
          <w:bCs w:val="0"/>
          <w:color w:val="000000" w:themeColor="text1"/>
          <w:sz w:val="24"/>
          <w:szCs w:val="24"/>
          <w:lang w:val="en-US" w:eastAsia="zh-CN"/>
          <w14:textFill>
            <w14:solidFill>
              <w14:schemeClr w14:val="tx1"/>
            </w14:solidFill>
          </w14:textFill>
        </w:rPr>
        <w:t>的交通管理、城市规划角度来看，并不利于共同配送的开展。如货运车辆限行、停车难、装卸难等问题，使共同配送难以顺畅进行。④配送网络、信息系统等软硬件的建设也使许多企业面临资金难题，这也成为制约</w:t>
      </w:r>
      <w:r>
        <w:rPr>
          <w:rFonts w:hint="eastAsia" w:ascii="宋体" w:hAnsi="宋体" w:cs="宋体"/>
          <w:b w:val="0"/>
          <w:bCs w:val="0"/>
          <w:color w:val="000000" w:themeColor="text1"/>
          <w:sz w:val="24"/>
          <w:szCs w:val="24"/>
          <w:lang w:val="en-US" w:eastAsia="zh-CN"/>
          <w14:textFill>
            <w14:solidFill>
              <w14:schemeClr w14:val="tx1"/>
            </w14:solidFill>
          </w14:textFill>
        </w:rPr>
        <w:t>园区</w:t>
      </w:r>
      <w:r>
        <w:rPr>
          <w:rFonts w:hint="eastAsia" w:ascii="宋体" w:hAnsi="宋体" w:eastAsia="宋体" w:cs="宋体"/>
          <w:b w:val="0"/>
          <w:bCs w:val="0"/>
          <w:color w:val="000000" w:themeColor="text1"/>
          <w:sz w:val="24"/>
          <w:szCs w:val="24"/>
          <w:lang w:val="en-US" w:eastAsia="zh-CN"/>
          <w14:textFill>
            <w14:solidFill>
              <w14:schemeClr w14:val="tx1"/>
            </w14:solidFill>
          </w14:textFill>
        </w:rPr>
        <w:t>共同配送难以大踏步发展的瓶颈之一。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（5）园区共同配送优化方案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信息平台建设：对于共同配送公共信息平台的建设，在不改变相关配送资源权属关系，不影响企业现状经营管理模式的基础上，基于物联网技术(RFID)、移动互联网技术(GLASS , GIS ,移动支付等)、云计算(SaaS,PaaS,IaaS)等现代信息技术，构建“三网合一”的配送运营及管理的城市配送物流公共信息平台。该平台对城市配送基础信息数据进行采集、发布和实时跟踪，提供包括货运信息发布、车源信息管理、交易撮合、货运班车、停车场管理、运输业务管理、智能调度、仓储管理、金融物流、以及智能自提柜等一体化综合信息管理与服务，为共同配送的实施创造条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物流标准建设：①物流标识标准化。主要包括城市配送车辆统一标志、标识标准化；依据《商品条码》、《储运单元条码》、《物流单元条码》等物流标识国家标准，编制统一的商品储运条码、周转箱编码、设施设备编码等；各配送点停车场、办公室、人员服装标识标准化；安全消防标识标准化。②机构制度标准化。制定一套规范化、标准化的管理手册作指导。在物流服务、公司管理方面，按照IS09002:1994的标准要求，建立服务质量管理体系；在公司行政、财务管理方面，按照IS09002:1994的指导思想建立一套标准的行政财务管理体系；进而将质量管理体系与行政财务管理体系有效地集合在一起，形成一套完整的公司管理手册。③业务流程标准化。金霞物流有始建于1950年，有着丰富的粮食等物流作业流程。下一步要逐步推进共同配送，拓展医药粮油的标准化仓储和配送从最基层的作业开始，到信息的加工处理，自下而上地收集各环节、各工作岗位的操作指导，根据部门及作业模块制汀切实可行的管理制度及控制标准，形成物流运作过程各个作业活动标准化的操作规范手册。并制定一定的培训制度，让员工按照操作规范从事作业活动。④信息处理标准化。信息处理标准化离不开标准化设施设备的配置和作业流程的规范化。要充分利用工业4.0背景下大发展的现代科学技术，并从园区的业务流程着手，规范设计信息系统各功能模块、统一数据信息交换格式和业务单据格式，把条码规范地应用在操作流程的各个环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配送体系建设：金霞物流坐拥区位、交通优势，东临火车货运新北站，西临湘江，南靠海关保税物流中心，北接能源基地，黄花机场近在咫尺，长沙南北主干道芙蓉北路贯穿园区，湘江大道、安顺路、华宁路、兴旺路纵横环绕。铁路、水路、公路、航空无缝对接，形成一体化货运枢纽，为发展现代物流提供了绝好的基础。园区应充分把握物流的地理优势，为消费者和客户提供更加高效便捷的物流服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s="宋体"/>
          <w:b w:val="0"/>
          <w:bCs w:val="0"/>
          <w:color w:val="000000" w:themeColor="text1"/>
          <w:sz w:val="24"/>
          <w:szCs w:val="24"/>
          <w:lang w:val="en-US" w:eastAsia="zh-CN"/>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br w:type="page"/>
      </w:r>
    </w:p>
    <w:p>
      <w:pPr>
        <w:tabs>
          <w:tab w:val="left" w:pos="420"/>
        </w:tabs>
        <w:autoSpaceDE w:val="0"/>
        <w:autoSpaceDN w:val="0"/>
        <w:adjustRightInd w:val="0"/>
        <w:snapToGrid w:val="0"/>
        <w:spacing w:line="360" w:lineRule="auto"/>
        <w:jc w:val="both"/>
        <w:outlineLvl w:val="0"/>
        <w:rPr>
          <w:rFonts w:hint="eastAsia" w:ascii="楷体" w:hAnsi="楷体" w:eastAsia="楷体"/>
          <w:color w:val="000000" w:themeColor="text1"/>
          <w:sz w:val="28"/>
          <w:szCs w:val="28"/>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附录一</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Style w:val="20"/>
          <w:rFonts w:hint="default" w:ascii="楷体" w:hAnsi="楷体" w:eastAsia="楷体"/>
          <w:color w:val="000000" w:themeColor="text1"/>
          <w:sz w:val="28"/>
          <w:szCs w:val="28"/>
          <w:lang w:eastAsia="zh-CN"/>
          <w14:textFill>
            <w14:solidFill>
              <w14:schemeClr w14:val="tx1"/>
            </w14:solidFill>
          </w14:textFill>
        </w:rPr>
      </w:pPr>
      <w:r>
        <w:rPr>
          <w:rStyle w:val="20"/>
          <w:rFonts w:hint="eastAsia" w:ascii="楷体" w:hAnsi="楷体" w:eastAsia="楷体"/>
          <w:color w:val="000000" w:themeColor="text1"/>
          <w:sz w:val="28"/>
          <w:szCs w:val="28"/>
          <w:lang w:eastAsia="zh-CN"/>
          <w14:textFill>
            <w14:solidFill>
              <w14:schemeClr w14:val="tx1"/>
            </w14:solidFill>
          </w14:textFill>
        </w:rPr>
        <w:t>长沙金霞经济开发区区位图</w:t>
      </w:r>
    </w:p>
    <w:p>
      <w:pPr>
        <w:spacing w:line="360" w:lineRule="auto"/>
        <w:ind w:firstLine="480" w:firstLineChars="200"/>
        <w:jc w:val="center"/>
        <w:rPr>
          <w:rStyle w:val="20"/>
          <w:rFonts w:hint="default" w:ascii="楷体" w:hAnsi="楷体" w:eastAsia="楷体"/>
          <w:color w:val="000000" w:themeColor="text1"/>
          <w:sz w:val="24"/>
          <w:szCs w:val="24"/>
          <w:lang w:eastAsia="zh-CN"/>
          <w14:textFill>
            <w14:solidFill>
              <w14:schemeClr w14:val="tx1"/>
            </w14:solidFill>
          </w14:textFill>
        </w:rPr>
      </w:pPr>
      <w:r>
        <w:rPr>
          <w:rFonts w:ascii="宋体" w:hAnsi="宋体" w:eastAsia="宋体"/>
          <w:color w:val="000000" w:themeColor="text1"/>
          <w:sz w:val="24"/>
          <w:szCs w:val="24"/>
          <w14:textFill>
            <w14:solidFill>
              <w14:schemeClr w14:val="tx1"/>
            </w14:solidFill>
          </w14:textFill>
        </w:rPr>
        <w:drawing>
          <wp:inline distT="0" distB="0" distL="0" distR="0">
            <wp:extent cx="2955290" cy="3787775"/>
            <wp:effectExtent l="0" t="0" r="0" b="317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969206" cy="3805168"/>
                    </a:xfrm>
                    <a:prstGeom prst="rect">
                      <a:avLst/>
                    </a:prstGeom>
                  </pic:spPr>
                </pic:pic>
              </a:graphicData>
            </a:graphic>
          </wp:inline>
        </w:drawing>
      </w:r>
    </w:p>
    <w:p>
      <w:pPr>
        <w:tabs>
          <w:tab w:val="left" w:pos="420"/>
        </w:tabs>
        <w:autoSpaceDE w:val="0"/>
        <w:autoSpaceDN w:val="0"/>
        <w:adjustRightInd w:val="0"/>
        <w:snapToGrid w:val="0"/>
        <w:spacing w:line="360" w:lineRule="auto"/>
        <w:jc w:val="both"/>
        <w:outlineLvl w:val="0"/>
        <w:rPr>
          <w:rFonts w:hint="eastAsia" w:ascii="楷体" w:hAnsi="楷体" w:eastAsia="楷体"/>
          <w:color w:val="000000" w:themeColor="text1"/>
          <w:sz w:val="28"/>
          <w:szCs w:val="28"/>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附录二</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firstLineChars="200"/>
        <w:jc w:val="center"/>
        <w:textAlignment w:val="auto"/>
        <w:outlineLvl w:val="9"/>
        <w:rPr>
          <w:rStyle w:val="20"/>
          <w:rFonts w:hint="default" w:ascii="楷体" w:hAnsi="楷体" w:eastAsia="楷体"/>
          <w:color w:val="000000" w:themeColor="text1"/>
          <w:sz w:val="28"/>
          <w:szCs w:val="28"/>
          <w:lang w:eastAsia="zh-CN"/>
          <w14:textFill>
            <w14:solidFill>
              <w14:schemeClr w14:val="tx1"/>
            </w14:solidFill>
          </w14:textFill>
        </w:rPr>
      </w:pPr>
      <w:r>
        <w:rPr>
          <w:rStyle w:val="20"/>
          <w:rFonts w:hint="default" w:ascii="楷体" w:hAnsi="楷体" w:eastAsia="楷体"/>
          <w:color w:val="000000" w:themeColor="text1"/>
          <w:sz w:val="28"/>
          <w:szCs w:val="28"/>
          <w:lang w:eastAsia="zh-CN"/>
          <w14:textFill>
            <w14:solidFill>
              <w14:schemeClr w14:val="tx1"/>
            </w14:solidFill>
          </w14:textFill>
        </w:rPr>
        <w:t>长沙金霞经济开发区在长沙的区域位置</w:t>
      </w:r>
    </w:p>
    <w:p>
      <w:pPr>
        <w:spacing w:line="360" w:lineRule="auto"/>
        <w:ind w:firstLine="480" w:firstLineChars="200"/>
        <w:jc w:val="center"/>
        <w:rPr>
          <w:rStyle w:val="20"/>
          <w:rFonts w:hint="default" w:ascii="楷体" w:hAnsi="楷体" w:eastAsia="楷体"/>
          <w:color w:val="000000" w:themeColor="text1"/>
          <w:sz w:val="24"/>
          <w:szCs w:val="24"/>
          <w:lang w:eastAsia="zh-CN"/>
          <w14:textFill>
            <w14:solidFill>
              <w14:schemeClr w14:val="tx1"/>
            </w14:solidFill>
          </w14:textFill>
        </w:rPr>
        <w:sectPr>
          <w:headerReference r:id="rId11" w:type="first"/>
          <w:headerReference r:id="rId10" w:type="default"/>
          <w:footerReference r:id="rId12" w:type="default"/>
          <w:footerReference r:id="rId13" w:type="even"/>
          <w:pgSz w:w="11906" w:h="16838"/>
          <w:pgMar w:top="1440" w:right="1800" w:bottom="1440" w:left="1800" w:header="851" w:footer="992" w:gutter="0"/>
          <w:pgNumType w:fmt="decimal" w:start="1"/>
          <w:cols w:space="425" w:num="1"/>
          <w:docGrid w:type="lines" w:linePitch="312" w:charSpace="0"/>
        </w:sectPr>
      </w:pPr>
      <w:r>
        <w:rPr>
          <w:rFonts w:ascii="宋体" w:hAnsi="宋体" w:eastAsia="宋体"/>
          <w:color w:val="000000" w:themeColor="text1"/>
          <w:sz w:val="24"/>
          <w:szCs w:val="24"/>
          <w14:textFill>
            <w14:solidFill>
              <w14:schemeClr w14:val="tx1"/>
            </w14:solidFill>
          </w14:textFill>
        </w:rPr>
        <w:drawing>
          <wp:inline distT="0" distB="0" distL="0" distR="0">
            <wp:extent cx="2626360" cy="3288665"/>
            <wp:effectExtent l="0" t="0" r="2540" b="698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26360" cy="3288665"/>
                    </a:xfrm>
                    <a:prstGeom prst="rect">
                      <a:avLst/>
                    </a:prstGeom>
                  </pic:spPr>
                </pic:pic>
              </a:graphicData>
            </a:graphic>
          </wp:inline>
        </w:drawing>
      </w:r>
    </w:p>
    <w:p>
      <w:pPr>
        <w:tabs>
          <w:tab w:val="left" w:pos="420"/>
        </w:tabs>
        <w:autoSpaceDE w:val="0"/>
        <w:autoSpaceDN w:val="0"/>
        <w:adjustRightInd w:val="0"/>
        <w:snapToGrid w:val="0"/>
        <w:spacing w:line="360" w:lineRule="auto"/>
        <w:jc w:val="both"/>
        <w:outlineLvl w:val="0"/>
        <w:rPr>
          <w:rStyle w:val="20"/>
          <w:rFonts w:hint="default" w:ascii="楷体" w:hAnsi="楷体" w:eastAsia="楷体"/>
          <w:color w:val="000000" w:themeColor="text1"/>
          <w:sz w:val="28"/>
          <w:szCs w:val="28"/>
          <w:lang w:eastAsia="zh-CN"/>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附录三</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r>
        <w:rPr>
          <w:rStyle w:val="20"/>
          <w:rFonts w:hint="default" w:ascii="楷体" w:hAnsi="楷体" w:eastAsia="楷体"/>
          <w:color w:val="000000" w:themeColor="text1"/>
          <w:sz w:val="28"/>
          <w:szCs w:val="28"/>
          <w:lang w:eastAsia="zh-CN"/>
          <w14:textFill>
            <w14:solidFill>
              <w14:schemeClr w14:val="tx1"/>
            </w14:solidFill>
          </w14:textFill>
        </w:rPr>
        <w:t xml:space="preserve">                       </w:t>
      </w:r>
    </w:p>
    <w:p>
      <w:pPr>
        <w:spacing w:line="360" w:lineRule="auto"/>
        <w:ind w:firstLine="560" w:firstLineChars="200"/>
        <w:jc w:val="center"/>
        <w:rPr>
          <w:rFonts w:ascii="楷体" w:hAnsi="楷体" w:eastAsia="楷体"/>
          <w:color w:val="000000" w:themeColor="text1"/>
          <w:sz w:val="28"/>
          <w:szCs w:val="28"/>
          <w14:textFill>
            <w14:solidFill>
              <w14:schemeClr w14:val="tx1"/>
            </w14:solidFill>
          </w14:textFill>
        </w:rPr>
      </w:pPr>
      <w:r>
        <w:rPr>
          <w:rStyle w:val="20"/>
          <w:rFonts w:hint="default" w:ascii="楷体" w:hAnsi="楷体" w:eastAsia="楷体"/>
          <w:color w:val="000000" w:themeColor="text1"/>
          <w:sz w:val="28"/>
          <w:szCs w:val="28"/>
          <w:lang w:eastAsia="zh-CN"/>
          <w14:textFill>
            <w14:solidFill>
              <w14:schemeClr w14:val="tx1"/>
            </w14:solidFill>
          </w14:textFill>
        </w:rPr>
        <w:t>长沙金霞经济开发区交通区位图</w:t>
      </w:r>
    </w:p>
    <w:p>
      <w:pPr>
        <w:spacing w:line="360" w:lineRule="auto"/>
        <w:ind w:firstLine="480" w:firstLineChars="200"/>
        <w:jc w:val="center"/>
        <w:rPr>
          <w:rFonts w:ascii="楷体" w:hAnsi="楷体" w:eastAsia="楷体"/>
          <w:color w:val="000000" w:themeColor="text1"/>
          <w:sz w:val="24"/>
          <w:szCs w:val="24"/>
          <w14:textFill>
            <w14:solidFill>
              <w14:schemeClr w14:val="tx1"/>
            </w14:solidFill>
          </w14:textFill>
        </w:rPr>
      </w:pPr>
      <w:r>
        <w:rPr>
          <w:rFonts w:asciiTheme="minorEastAsia" w:hAnsiTheme="minorEastAsia"/>
          <w:color w:val="000000" w:themeColor="text1"/>
          <w:kern w:val="0"/>
          <w:sz w:val="24"/>
          <w:szCs w:val="24"/>
          <w14:textFill>
            <w14:solidFill>
              <w14:schemeClr w14:val="tx1"/>
            </w14:solidFill>
          </w14:textFill>
        </w:rPr>
        <w:drawing>
          <wp:inline distT="0" distB="0" distL="0" distR="0">
            <wp:extent cx="6019800" cy="4384675"/>
            <wp:effectExtent l="0" t="0" r="0"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9800" cy="4384675"/>
                    </a:xfrm>
                    <a:prstGeom prst="rect">
                      <a:avLst/>
                    </a:prstGeom>
                  </pic:spPr>
                </pic:pic>
              </a:graphicData>
            </a:graphic>
          </wp:inline>
        </w:drawing>
      </w:r>
    </w:p>
    <w:p>
      <w:pPr>
        <w:tabs>
          <w:tab w:val="left" w:pos="420"/>
        </w:tabs>
        <w:autoSpaceDE w:val="0"/>
        <w:autoSpaceDN w:val="0"/>
        <w:adjustRightInd w:val="0"/>
        <w:snapToGrid w:val="0"/>
        <w:spacing w:line="360" w:lineRule="auto"/>
        <w:jc w:val="both"/>
        <w:outlineLvl w:val="0"/>
        <w:rPr>
          <w:rFonts w:hint="eastAsia" w:ascii="黑体" w:hAnsi="黑体" w:eastAsia="黑体"/>
          <w:color w:val="000000" w:themeColor="text1"/>
          <w:sz w:val="28"/>
          <w:szCs w:val="28"/>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附录四</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r>
        <w:rPr>
          <w:rFonts w:hint="eastAsia" w:ascii="黑体" w:hAnsi="黑体" w:eastAsia="黑体"/>
          <w:color w:val="000000" w:themeColor="text1"/>
          <w:sz w:val="28"/>
          <w:szCs w:val="28"/>
          <w14:textFill>
            <w14:solidFill>
              <w14:schemeClr w14:val="tx1"/>
            </w14:solidFill>
          </w14:textFill>
        </w:rPr>
        <w:t xml:space="preserve">                   </w:t>
      </w:r>
    </w:p>
    <w:p>
      <w:pPr>
        <w:spacing w:line="360" w:lineRule="auto"/>
        <w:ind w:firstLine="560" w:firstLineChars="200"/>
        <w:jc w:val="center"/>
        <w:rPr>
          <w:rFonts w:ascii="楷体" w:hAnsi="楷体" w:eastAsia="楷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长</w:t>
      </w:r>
      <w:r>
        <w:rPr>
          <w:rFonts w:ascii="楷体" w:hAnsi="楷体" w:eastAsia="楷体"/>
          <w:color w:val="000000" w:themeColor="text1"/>
          <w:sz w:val="28"/>
          <w:szCs w:val="28"/>
          <w14:textFill>
            <w14:solidFill>
              <w14:schemeClr w14:val="tx1"/>
            </w14:solidFill>
          </w14:textFill>
        </w:rPr>
        <w:t>沙金霞经济开发区五组团分布图</w:t>
      </w:r>
    </w:p>
    <w:p>
      <w:pPr>
        <w:spacing w:line="360" w:lineRule="auto"/>
        <w:ind w:firstLine="480" w:firstLineChars="200"/>
        <w:jc w:val="center"/>
        <w:rPr>
          <w:rFonts w:ascii="楷体" w:hAnsi="楷体" w:eastAsia="楷体"/>
          <w:color w:val="000000" w:themeColor="text1"/>
          <w:sz w:val="24"/>
          <w:szCs w:val="24"/>
          <w14:textFill>
            <w14:solidFill>
              <w14:schemeClr w14:val="tx1"/>
            </w14:solidFill>
          </w14:textFill>
        </w:rPr>
      </w:pPr>
      <w:r>
        <w:rPr>
          <w:rFonts w:ascii="仿宋_GB2312" w:hAnsi="仿宋" w:eastAsia="仿宋_GB2312"/>
          <w:color w:val="000000" w:themeColor="text1"/>
          <w:sz w:val="24"/>
          <w:szCs w:val="24"/>
          <w14:textFill>
            <w14:solidFill>
              <w14:schemeClr w14:val="tx1"/>
            </w14:solidFill>
          </w14:textFill>
        </w:rPr>
        <w:drawing>
          <wp:inline distT="0" distB="0" distL="0" distR="0">
            <wp:extent cx="6134735" cy="44386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139605" cy="4442286"/>
                    </a:xfrm>
                    <a:prstGeom prst="rect">
                      <a:avLst/>
                    </a:prstGeom>
                  </pic:spPr>
                </pic:pic>
              </a:graphicData>
            </a:graphic>
          </wp:inline>
        </w:drawing>
      </w:r>
    </w:p>
    <w:p>
      <w:pPr>
        <w:spacing w:line="360" w:lineRule="auto"/>
        <w:ind w:firstLine="560" w:firstLineChars="200"/>
        <w:jc w:val="left"/>
        <w:rPr>
          <w:rFonts w:ascii="黑体" w:hAnsi="黑体" w:eastAsia="黑体"/>
          <w:color w:val="000000" w:themeColor="text1"/>
          <w:sz w:val="28"/>
          <w:szCs w:val="28"/>
          <w14:textFill>
            <w14:solidFill>
              <w14:schemeClr w14:val="tx1"/>
            </w14:solidFill>
          </w14:textFill>
        </w:rPr>
        <w:sectPr>
          <w:pgSz w:w="16838" w:h="11906" w:orient="landscape"/>
          <w:pgMar w:top="1797" w:right="1440" w:bottom="1797" w:left="1440" w:header="851" w:footer="992" w:gutter="0"/>
          <w:pgNumType w:fmt="decimal"/>
          <w:cols w:space="425" w:num="1"/>
          <w:docGrid w:linePitch="312" w:charSpace="0"/>
        </w:sectPr>
      </w:pPr>
    </w:p>
    <w:p>
      <w:pPr>
        <w:tabs>
          <w:tab w:val="left" w:pos="420"/>
        </w:tabs>
        <w:autoSpaceDE w:val="0"/>
        <w:autoSpaceDN w:val="0"/>
        <w:adjustRightInd w:val="0"/>
        <w:snapToGrid w:val="0"/>
        <w:spacing w:line="360" w:lineRule="auto"/>
        <w:jc w:val="both"/>
        <w:outlineLvl w:val="0"/>
        <w:rPr>
          <w:rStyle w:val="20"/>
          <w:rFonts w:hint="default" w:ascii="楷体" w:hAnsi="楷体" w:eastAsia="楷体"/>
          <w:color w:val="000000" w:themeColor="text1"/>
          <w:sz w:val="28"/>
          <w:szCs w:val="28"/>
          <w:lang w:eastAsia="zh-CN"/>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附录五</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r>
        <w:rPr>
          <w:rStyle w:val="20"/>
          <w:rFonts w:hint="default" w:ascii="楷体" w:hAnsi="楷体" w:eastAsia="楷体"/>
          <w:color w:val="000000" w:themeColor="text1"/>
          <w:sz w:val="28"/>
          <w:szCs w:val="28"/>
          <w:lang w:eastAsia="zh-CN"/>
          <w14:textFill>
            <w14:solidFill>
              <w14:schemeClr w14:val="tx1"/>
            </w14:solidFill>
          </w14:textFill>
        </w:rPr>
        <w:t xml:space="preserve"> </w:t>
      </w:r>
    </w:p>
    <w:p>
      <w:pPr>
        <w:spacing w:line="360" w:lineRule="auto"/>
        <w:jc w:val="center"/>
        <w:rPr>
          <w:rFonts w:asciiTheme="minorEastAsia" w:hAnsiTheme="minorEastAsia"/>
          <w:color w:val="000000" w:themeColor="text1"/>
          <w:sz w:val="24"/>
          <w:szCs w:val="24"/>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长沙市城市总体规划图</w:t>
      </w:r>
      <w:r>
        <w:rPr>
          <w:rFonts w:asciiTheme="minorEastAsia" w:hAnsiTheme="minorEastAsia"/>
          <w:color w:val="000000" w:themeColor="text1"/>
          <w:sz w:val="24"/>
          <w:szCs w:val="24"/>
          <w14:textFill>
            <w14:solidFill>
              <w14:schemeClr w14:val="tx1"/>
            </w14:solidFill>
          </w14:textFill>
        </w:rPr>
        <w:drawing>
          <wp:inline distT="0" distB="0" distL="0" distR="0">
            <wp:extent cx="5111750" cy="7231380"/>
            <wp:effectExtent l="0" t="0" r="1270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1750" cy="7231380"/>
                    </a:xfrm>
                    <a:prstGeom prst="rect">
                      <a:avLst/>
                    </a:prstGeom>
                  </pic:spPr>
                </pic:pic>
              </a:graphicData>
            </a:graphic>
          </wp:inline>
        </w:drawing>
      </w:r>
    </w:p>
    <w:p>
      <w:pPr>
        <w:widowControl/>
        <w:jc w:val="left"/>
        <w:rPr>
          <w:rFonts w:asciiTheme="minorEastAsia" w:hAnsiTheme="minorEastAsia"/>
          <w:color w:val="000000" w:themeColor="text1"/>
          <w:sz w:val="24"/>
          <w:szCs w:val="24"/>
          <w14:textFill>
            <w14:solidFill>
              <w14:schemeClr w14:val="tx1"/>
            </w14:solidFill>
          </w14:textFill>
        </w:rPr>
      </w:pPr>
    </w:p>
    <w:p>
      <w:pPr>
        <w:widowControl/>
        <w:jc w:val="left"/>
        <w:rPr>
          <w:rFonts w:asciiTheme="minorEastAsia" w:hAnsiTheme="minorEastAsia"/>
          <w:color w:val="000000" w:themeColor="text1"/>
          <w:sz w:val="24"/>
          <w:szCs w:val="24"/>
          <w14:textFill>
            <w14:solidFill>
              <w14:schemeClr w14:val="tx1"/>
            </w14:solidFill>
          </w14:textFill>
        </w:rPr>
      </w:pPr>
    </w:p>
    <w:p>
      <w:pPr>
        <w:widowControl/>
        <w:jc w:val="left"/>
        <w:rPr>
          <w:rFonts w:asciiTheme="minorEastAsia" w:hAnsiTheme="minorEastAsia"/>
          <w:color w:val="000000" w:themeColor="text1"/>
          <w:sz w:val="24"/>
          <w:szCs w:val="24"/>
          <w14:textFill>
            <w14:solidFill>
              <w14:schemeClr w14:val="tx1"/>
            </w14:solidFill>
          </w14:textFill>
        </w:rPr>
      </w:pPr>
    </w:p>
    <w:p>
      <w:pPr>
        <w:widowControl/>
        <w:jc w:val="left"/>
        <w:rPr>
          <w:rFonts w:asciiTheme="minorEastAsia" w:hAnsiTheme="minorEastAsia"/>
          <w:color w:val="000000" w:themeColor="text1"/>
          <w:sz w:val="24"/>
          <w:szCs w:val="24"/>
          <w14:textFill>
            <w14:solidFill>
              <w14:schemeClr w14:val="tx1"/>
            </w14:solidFill>
          </w14:textFill>
        </w:rPr>
        <w:sectPr>
          <w:pgSz w:w="11906" w:h="16838"/>
          <w:pgMar w:top="1440" w:right="1797" w:bottom="1440" w:left="1797" w:header="851" w:footer="992" w:gutter="0"/>
          <w:pgNumType w:fmt="decimal"/>
          <w:cols w:space="425" w:num="1"/>
          <w:docGrid w:linePitch="312" w:charSpace="0"/>
        </w:sectPr>
      </w:pPr>
    </w:p>
    <w:p>
      <w:pPr>
        <w:tabs>
          <w:tab w:val="left" w:pos="420"/>
        </w:tabs>
        <w:autoSpaceDE w:val="0"/>
        <w:autoSpaceDN w:val="0"/>
        <w:adjustRightInd w:val="0"/>
        <w:snapToGrid w:val="0"/>
        <w:spacing w:line="360" w:lineRule="auto"/>
        <w:jc w:val="both"/>
        <w:outlineLvl w:val="0"/>
        <w:rPr>
          <w:rFonts w:hint="eastAsia" w:ascii="楷体" w:hAnsi="楷体" w:eastAsia="楷体"/>
          <w:color w:val="000000" w:themeColor="text1"/>
          <w:sz w:val="28"/>
          <w:szCs w:val="28"/>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附录六</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p>
    <w:p>
      <w:pPr>
        <w:tabs>
          <w:tab w:val="left" w:pos="4270"/>
        </w:tabs>
        <w:spacing w:line="360" w:lineRule="auto"/>
        <w:jc w:val="center"/>
        <w:rPr>
          <w:rFonts w:ascii="黑体" w:hAnsi="黑体" w:eastAsia="黑体"/>
          <w:color w:val="000000" w:themeColor="text1"/>
          <w:sz w:val="28"/>
          <w:szCs w:val="28"/>
          <w14:textFill>
            <w14:solidFill>
              <w14:schemeClr w14:val="tx1"/>
            </w14:solidFill>
          </w14:textFill>
        </w:rPr>
      </w:pPr>
      <w:r>
        <w:rPr>
          <w:rFonts w:hint="eastAsia" w:ascii="楷体" w:hAnsi="楷体" w:eastAsia="楷体"/>
          <w:color w:val="000000" w:themeColor="text1"/>
          <w:sz w:val="28"/>
          <w:szCs w:val="28"/>
          <w14:textFill>
            <w14:solidFill>
              <w14:schemeClr w14:val="tx1"/>
            </w14:solidFill>
          </w14:textFill>
        </w:rPr>
        <w:t>长沙金霞经济开发区发展规划图</w:t>
      </w:r>
    </w:p>
    <w:p>
      <w:pPr>
        <w:spacing w:line="360" w:lineRule="auto"/>
        <w:ind w:firstLine="420" w:firstLineChars="200"/>
        <w:jc w:val="center"/>
        <w:rPr>
          <w:rFonts w:asciiTheme="minorEastAsia" w:hAnsiTheme="minorEastAsia"/>
          <w:color w:val="000000" w:themeColor="text1"/>
          <w:sz w:val="24"/>
          <w:szCs w:val="24"/>
          <w14:textFill>
            <w14:solidFill>
              <w14:schemeClr w14:val="tx1"/>
            </w14:solidFill>
          </w14:textFill>
        </w:rPr>
      </w:pPr>
      <w:r>
        <w:rPr>
          <w:color w:val="000000" w:themeColor="text1"/>
          <w14:textFill>
            <w14:solidFill>
              <w14:schemeClr w14:val="tx1"/>
            </w14:solidFill>
          </w14:textFill>
        </w:rPr>
        <w:drawing>
          <wp:inline distT="0" distB="0" distL="0" distR="0">
            <wp:extent cx="6068060" cy="4333875"/>
            <wp:effectExtent l="0" t="0" r="889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6068060" cy="4333875"/>
                    </a:xfrm>
                    <a:prstGeom prst="rect">
                      <a:avLst/>
                    </a:prstGeom>
                  </pic:spPr>
                </pic:pic>
              </a:graphicData>
            </a:graphic>
          </wp:inline>
        </w:drawing>
      </w:r>
    </w:p>
    <w:p>
      <w:pPr>
        <w:tabs>
          <w:tab w:val="left" w:pos="420"/>
        </w:tabs>
        <w:autoSpaceDE w:val="0"/>
        <w:autoSpaceDN w:val="0"/>
        <w:adjustRightInd w:val="0"/>
        <w:snapToGrid w:val="0"/>
        <w:spacing w:line="360" w:lineRule="auto"/>
        <w:jc w:val="both"/>
        <w:outlineLvl w:val="0"/>
        <w:rPr>
          <w:rFonts w:hint="eastAsia" w:ascii="黑体" w:hAnsi="黑体" w:eastAsia="黑体"/>
          <w:color w:val="000000" w:themeColor="text1"/>
          <w:sz w:val="28"/>
          <w:szCs w:val="28"/>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附录七</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p>
    <w:p>
      <w:pPr>
        <w:ind w:firstLine="560" w:firstLineChars="200"/>
        <w:jc w:val="left"/>
        <w:rPr>
          <w:rFonts w:ascii="楷体" w:hAnsi="楷体" w:eastAsia="楷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 xml:space="preserve"> </w:t>
      </w:r>
      <w:r>
        <w:rPr>
          <w:rFonts w:hint="eastAsia"/>
          <w:color w:val="000000" w:themeColor="text1"/>
          <w:sz w:val="24"/>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长沙金霞经济开发区规划四至范围图</w:t>
      </w:r>
    </w:p>
    <w:p>
      <w:pPr>
        <w:spacing w:line="480" w:lineRule="auto"/>
        <w:ind w:firstLine="480" w:firstLineChars="200"/>
        <w:jc w:val="center"/>
        <w:rPr>
          <w:color w:val="000000" w:themeColor="text1"/>
          <w:sz w:val="24"/>
          <w14:textFill>
            <w14:solidFill>
              <w14:schemeClr w14:val="tx1"/>
            </w14:solidFill>
          </w14:textFill>
        </w:rPr>
        <w:sectPr>
          <w:pgSz w:w="16838" w:h="11906" w:orient="landscape"/>
          <w:pgMar w:top="1797" w:right="1440" w:bottom="1797" w:left="1440" w:header="851" w:footer="992" w:gutter="0"/>
          <w:pgNumType w:fmt="decimal"/>
          <w:cols w:space="425" w:num="1"/>
          <w:docGrid w:linePitch="312" w:charSpace="0"/>
        </w:sectPr>
      </w:pPr>
      <w:r>
        <w:rPr>
          <w:rFonts w:asciiTheme="minorEastAsia" w:hAnsiTheme="minorEastAsia"/>
          <w:color w:val="000000" w:themeColor="text1"/>
          <w:sz w:val="24"/>
          <w:szCs w:val="24"/>
          <w14:textFill>
            <w14:solidFill>
              <w14:schemeClr w14:val="tx1"/>
            </w14:solidFill>
          </w14:textFill>
        </w:rPr>
        <w:drawing>
          <wp:inline distT="0" distB="0" distL="0" distR="0">
            <wp:extent cx="6247130" cy="4422775"/>
            <wp:effectExtent l="0" t="0" r="127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47130" cy="4422775"/>
                    </a:xfrm>
                    <a:prstGeom prst="rect">
                      <a:avLst/>
                    </a:prstGeom>
                  </pic:spPr>
                </pic:pic>
              </a:graphicData>
            </a:graphic>
          </wp:inline>
        </w:drawing>
      </w:r>
    </w:p>
    <w:p>
      <w:pPr>
        <w:tabs>
          <w:tab w:val="left" w:pos="420"/>
        </w:tabs>
        <w:autoSpaceDE w:val="0"/>
        <w:autoSpaceDN w:val="0"/>
        <w:adjustRightInd w:val="0"/>
        <w:snapToGrid w:val="0"/>
        <w:spacing w:line="360" w:lineRule="auto"/>
        <w:jc w:val="both"/>
        <w:outlineLvl w:val="0"/>
        <w:rPr>
          <w:rFonts w:hint="eastAsia" w:ascii="楷体" w:hAnsi="楷体" w:eastAsia="楷体"/>
          <w:color w:val="000000" w:themeColor="text1"/>
          <w:sz w:val="28"/>
          <w:szCs w:val="28"/>
          <w14:textFill>
            <w14:solidFill>
              <w14:schemeClr w14:val="tx1"/>
            </w14:solidFill>
          </w14:textFill>
        </w:rPr>
      </w:pPr>
      <w:r>
        <w:rPr>
          <w:rFonts w:hint="eastAsia" w:ascii="黑体" w:hAnsi="黑体" w:eastAsia="黑体"/>
          <w:b/>
          <w:color w:val="000000" w:themeColor="text1"/>
          <w:sz w:val="28"/>
          <w:szCs w:val="28"/>
          <w:lang w:val="zh-CN" w:eastAsia="zh-CN"/>
          <w14:textFill>
            <w14:solidFill>
              <w14:schemeClr w14:val="tx1"/>
            </w14:solidFill>
          </w14:textFill>
        </w:rPr>
        <w:t>附录八</w:t>
      </w:r>
      <w:r>
        <w:rPr>
          <w:rFonts w:hint="eastAsia" w:ascii="黑体" w:hAnsi="黑体" w:eastAsia="黑体"/>
          <w:b/>
          <w:color w:val="000000" w:themeColor="text1"/>
          <w:sz w:val="28"/>
          <w:szCs w:val="28"/>
          <w:lang w:val="en-US" w:eastAsia="zh-CN"/>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w:t>
      </w:r>
    </w:p>
    <w:p>
      <w:pPr>
        <w:jc w:val="center"/>
        <w:rPr>
          <w:rFonts w:ascii="楷体" w:hAnsi="楷体" w:eastAsia="楷体"/>
          <w:color w:val="000000" w:themeColor="text1"/>
          <w:sz w:val="28"/>
          <w:szCs w:val="28"/>
          <w14:textFill>
            <w14:solidFill>
              <w14:schemeClr w14:val="tx1"/>
            </w14:solidFill>
          </w14:textFill>
        </w:rPr>
      </w:pPr>
      <w:r>
        <w:rPr>
          <w:rFonts w:hint="eastAsia" w:ascii="黑体" w:hAnsi="黑体" w:eastAsia="黑体"/>
          <w:color w:val="000000" w:themeColor="text1"/>
          <w:sz w:val="28"/>
          <w:szCs w:val="28"/>
          <w14:textFill>
            <w14:solidFill>
              <w14:schemeClr w14:val="tx1"/>
            </w14:solidFill>
          </w14:textFill>
        </w:rPr>
        <w:t xml:space="preserve">    </w:t>
      </w:r>
      <w:r>
        <w:rPr>
          <w:rFonts w:hint="eastAsia" w:ascii="楷体" w:hAnsi="楷体" w:eastAsia="楷体"/>
          <w:color w:val="000000" w:themeColor="text1"/>
          <w:sz w:val="24"/>
          <w:szCs w:val="24"/>
          <w14:textFill>
            <w14:solidFill>
              <w14:schemeClr w14:val="tx1"/>
            </w14:solidFill>
          </w14:textFill>
        </w:rPr>
        <w:t xml:space="preserve"> </w:t>
      </w:r>
      <w:r>
        <w:rPr>
          <w:rFonts w:hint="eastAsia" w:ascii="楷体" w:hAnsi="楷体" w:eastAsia="楷体"/>
          <w:color w:val="000000" w:themeColor="text1"/>
          <w:sz w:val="28"/>
          <w:szCs w:val="28"/>
          <w14:textFill>
            <w14:solidFill>
              <w14:schemeClr w14:val="tx1"/>
            </w14:solidFill>
          </w14:textFill>
        </w:rPr>
        <w:t xml:space="preserve">  长沙金霞经济开发区“十三五”发展的目标体系</w:t>
      </w:r>
    </w:p>
    <w:p>
      <w:pPr>
        <w:jc w:val="center"/>
        <w:rPr>
          <w:rFonts w:ascii="楷体" w:hAnsi="楷体" w:eastAsia="楷体"/>
          <w:color w:val="000000" w:themeColor="text1"/>
          <w:sz w:val="28"/>
          <w:szCs w:val="28"/>
          <w14:textFill>
            <w14:solidFill>
              <w14:schemeClr w14:val="tx1"/>
            </w14:solidFill>
          </w14:textFill>
        </w:rPr>
      </w:pPr>
    </w:p>
    <w:tbl>
      <w:tblPr>
        <w:tblStyle w:val="12"/>
        <w:tblW w:w="8594" w:type="dxa"/>
        <w:jc w:val="center"/>
        <w:tblInd w:w="9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801"/>
        <w:gridCol w:w="2126"/>
        <w:gridCol w:w="1108"/>
        <w:gridCol w:w="1043"/>
        <w:gridCol w:w="916"/>
        <w:gridCol w:w="974"/>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758" w:type="dxa"/>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指标分类</w:t>
            </w:r>
          </w:p>
        </w:tc>
        <w:tc>
          <w:tcPr>
            <w:tcW w:w="2927" w:type="dxa"/>
            <w:gridSpan w:val="2"/>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指标名称</w:t>
            </w:r>
          </w:p>
        </w:tc>
        <w:tc>
          <w:tcPr>
            <w:tcW w:w="1108" w:type="dxa"/>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计量单位</w:t>
            </w:r>
          </w:p>
        </w:tc>
        <w:tc>
          <w:tcPr>
            <w:tcW w:w="1043" w:type="dxa"/>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2015年</w:t>
            </w:r>
          </w:p>
        </w:tc>
        <w:tc>
          <w:tcPr>
            <w:tcW w:w="916" w:type="dxa"/>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2020年</w:t>
            </w:r>
          </w:p>
        </w:tc>
        <w:tc>
          <w:tcPr>
            <w:tcW w:w="974" w:type="dxa"/>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年均</w:t>
            </w:r>
            <w:r>
              <w:rPr>
                <w:rFonts w:hint="default" w:ascii="Times New Roman" w:hAnsi="Times New Roman" w:eastAsia="仿宋" w:cs="Times New Roman"/>
                <w:b/>
                <w:bCs/>
                <w:color w:val="000000" w:themeColor="text1"/>
                <w:kern w:val="0"/>
                <w:sz w:val="21"/>
                <w:szCs w:val="21"/>
                <w14:textFill>
                  <w14:solidFill>
                    <w14:schemeClr w14:val="tx1"/>
                  </w14:solidFill>
                </w14:textFill>
              </w:rPr>
              <w:br w:type="textWrapping"/>
            </w:r>
            <w:r>
              <w:rPr>
                <w:rFonts w:hint="default" w:ascii="Times New Roman" w:hAnsi="Times New Roman" w:eastAsia="仿宋" w:cs="Times New Roman"/>
                <w:b/>
                <w:bCs/>
                <w:color w:val="000000" w:themeColor="text1"/>
                <w:kern w:val="0"/>
                <w:sz w:val="21"/>
                <w:szCs w:val="21"/>
                <w14:textFill>
                  <w14:solidFill>
                    <w14:schemeClr w14:val="tx1"/>
                  </w14:solidFill>
                </w14:textFill>
              </w:rPr>
              <w:t>增长率</w:t>
            </w:r>
          </w:p>
        </w:tc>
        <w:tc>
          <w:tcPr>
            <w:tcW w:w="868" w:type="dxa"/>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指标</w:t>
            </w:r>
            <w:r>
              <w:rPr>
                <w:rFonts w:hint="default" w:ascii="Times New Roman" w:hAnsi="Times New Roman" w:eastAsia="仿宋" w:cs="Times New Roman"/>
                <w:b/>
                <w:bCs/>
                <w:color w:val="000000" w:themeColor="text1"/>
                <w:kern w:val="0"/>
                <w:sz w:val="21"/>
                <w:szCs w:val="21"/>
                <w14:textFill>
                  <w14:solidFill>
                    <w14:schemeClr w14:val="tx1"/>
                  </w14:solidFill>
                </w14:textFill>
              </w:rPr>
              <w:br w:type="textWrapping"/>
            </w:r>
            <w:r>
              <w:rPr>
                <w:rFonts w:hint="default" w:ascii="Times New Roman" w:hAnsi="Times New Roman" w:eastAsia="仿宋" w:cs="Times New Roman"/>
                <w:b/>
                <w:bCs/>
                <w:color w:val="000000" w:themeColor="text1"/>
                <w:kern w:val="0"/>
                <w:sz w:val="21"/>
                <w:szCs w:val="21"/>
                <w14:textFill>
                  <w14:solidFill>
                    <w14:schemeClr w14:val="tx1"/>
                  </w14:solidFill>
                </w14:textFill>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restart"/>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经济发展</w:t>
            </w:r>
          </w:p>
        </w:tc>
        <w:tc>
          <w:tcPr>
            <w:tcW w:w="801" w:type="dxa"/>
            <w:vMerge w:val="restart"/>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综合</w:t>
            </w:r>
          </w:p>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经济</w:t>
            </w:r>
            <w:r>
              <w:rPr>
                <w:rFonts w:hint="default" w:ascii="Times New Roman" w:hAnsi="Times New Roman" w:eastAsia="仿宋" w:cs="Times New Roman"/>
                <w:color w:val="000000" w:themeColor="text1"/>
                <w:kern w:val="0"/>
                <w:sz w:val="21"/>
                <w:szCs w:val="21"/>
                <w14:textFill>
                  <w14:solidFill>
                    <w14:schemeClr w14:val="tx1"/>
                  </w14:solidFill>
                </w14:textFill>
              </w:rPr>
              <w:br w:type="textWrapping"/>
            </w:r>
            <w:r>
              <w:rPr>
                <w:rFonts w:hint="default" w:ascii="Times New Roman" w:hAnsi="Times New Roman" w:eastAsia="仿宋" w:cs="Times New Roman"/>
                <w:color w:val="000000" w:themeColor="text1"/>
                <w:kern w:val="0"/>
                <w:sz w:val="21"/>
                <w:szCs w:val="21"/>
                <w14:textFill>
                  <w14:solidFill>
                    <w14:schemeClr w14:val="tx1"/>
                  </w14:solidFill>
                </w14:textFill>
              </w:rPr>
              <w:t>实力</w:t>
            </w: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园区财政收入</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12.5%</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技工贸总收入</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450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1200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21.67%</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规模工业总产值</w:t>
            </w:r>
          </w:p>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（含商贸流通业）</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440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1150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21.19%</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规模工业增加值</w:t>
            </w:r>
          </w:p>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（含商贸流通业）</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95</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245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20.86%</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实现利税</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24</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60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20.11%</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完成全社会固定资产投资</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130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6"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restart"/>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商贸</w:t>
            </w:r>
          </w:p>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流通业</w:t>
            </w: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社会物流总额</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1108</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2000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12.54%</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物流企业货运量</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万吨</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2800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5500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14.46%</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物流企业货物吞吐量</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万吨</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3750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5000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5.92%</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商贸流通业营业收入</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350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1000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23.36%</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商贸流通业增加值</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70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23.36%</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物流企业信息化水平</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95</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96</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物流企业智能化水平</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80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85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5"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restart"/>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科技</w:t>
            </w:r>
            <w:r>
              <w:rPr>
                <w:rFonts w:hint="default" w:ascii="Times New Roman" w:hAnsi="Times New Roman" w:eastAsia="仿宋" w:cs="Times New Roman"/>
                <w:color w:val="000000" w:themeColor="text1"/>
                <w:kern w:val="0"/>
                <w:sz w:val="21"/>
                <w:szCs w:val="21"/>
                <w14:textFill>
                  <w14:solidFill>
                    <w14:schemeClr w14:val="tx1"/>
                  </w14:solidFill>
                </w14:textFill>
              </w:rPr>
              <w:br w:type="textWrapping"/>
            </w:r>
            <w:r>
              <w:rPr>
                <w:rFonts w:hint="default" w:ascii="Times New Roman" w:hAnsi="Times New Roman" w:eastAsia="仿宋" w:cs="Times New Roman"/>
                <w:color w:val="000000" w:themeColor="text1"/>
                <w:kern w:val="0"/>
                <w:sz w:val="21"/>
                <w:szCs w:val="21"/>
                <w14:textFill>
                  <w14:solidFill>
                    <w14:schemeClr w14:val="tx1"/>
                  </w14:solidFill>
                </w14:textFill>
              </w:rPr>
              <w:t>实力</w:t>
            </w: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高新技术产业产值占工业总产值比重</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37</w:t>
            </w:r>
            <w:r>
              <w:rPr>
                <w:rFonts w:hint="default" w:ascii="Times New Roman" w:hAnsi="Times New Roman" w:eastAsia="仿宋" w:cs="Times New Roman"/>
                <w:color w:val="000000" w:themeColor="text1"/>
                <w:kern w:val="0"/>
                <w:sz w:val="21"/>
                <w:szCs w:val="21"/>
                <w14:textFill>
                  <w14:solidFill>
                    <w14:schemeClr w14:val="tx1"/>
                  </w14:solidFill>
                </w14:textFill>
              </w:rPr>
              <w:br w:type="textWrapping"/>
            </w:r>
            <w:r>
              <w:rPr>
                <w:rFonts w:hint="default" w:ascii="Times New Roman" w:hAnsi="Times New Roman" w:eastAsia="仿宋" w:cs="Times New Roman"/>
                <w:color w:val="000000" w:themeColor="text1"/>
                <w:kern w:val="0"/>
                <w:sz w:val="21"/>
                <w:szCs w:val="21"/>
                <w14:textFill>
                  <w14:solidFill>
                    <w14:schemeClr w14:val="tx1"/>
                  </w14:solidFill>
                </w14:textFill>
              </w:rPr>
              <w:t>（纯工业）</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研发投入占GDP比重</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w:t>
            </w:r>
            <w:r>
              <w:rPr>
                <w:rFonts w:hint="default" w:ascii="Times New Roman" w:hAnsi="Times New Roman" w:eastAsia="仿宋" w:cs="Times New Roman"/>
                <w:color w:val="000000" w:themeColor="text1"/>
                <w:kern w:val="0"/>
                <w:sz w:val="21"/>
                <w:szCs w:val="21"/>
                <w14:textFill>
                  <w14:solidFill>
                    <w14:schemeClr w14:val="tx1"/>
                  </w14:solidFill>
                </w14:textFill>
              </w:rPr>
              <w:br w:type="textWrapping"/>
            </w:r>
            <w:r>
              <w:rPr>
                <w:rFonts w:hint="default" w:ascii="Times New Roman" w:hAnsi="Times New Roman" w:eastAsia="仿宋" w:cs="Times New Roman"/>
                <w:color w:val="000000" w:themeColor="text1"/>
                <w:kern w:val="0"/>
                <w:sz w:val="21"/>
                <w:szCs w:val="21"/>
                <w14:textFill>
                  <w14:solidFill>
                    <w14:schemeClr w14:val="tx1"/>
                  </w14:solidFill>
                </w14:textFill>
              </w:rPr>
              <w:t>（纯工业）</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科技人才比重（学历本科及以上）</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70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6.96%</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4"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restart"/>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招商引资与外向经济</w:t>
            </w: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引入投资过亿项目</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98.9</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175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实际利用外资</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亿美元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1.6</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2.1</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实际到位省外境内资金</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22</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801" w:type="dxa"/>
            <w:vMerge w:val="continue"/>
            <w:vAlign w:val="center"/>
          </w:tcPr>
          <w:p>
            <w:pPr>
              <w:widowControl/>
              <w:spacing w:line="380" w:lineRule="exact"/>
              <w:jc w:val="left"/>
              <w:rPr>
                <w:rFonts w:hint="default" w:ascii="Times New Roman" w:hAnsi="Times New Roman" w:eastAsia="仿宋" w:cs="Times New Roman"/>
                <w:color w:val="000000" w:themeColor="text1"/>
                <w:kern w:val="0"/>
                <w:sz w:val="21"/>
                <w:szCs w:val="21"/>
                <w14:textFill>
                  <w14:solidFill>
                    <w14:schemeClr w14:val="tx1"/>
                  </w14:solidFill>
                </w14:textFill>
              </w:rPr>
            </w:pPr>
          </w:p>
        </w:tc>
        <w:tc>
          <w:tcPr>
            <w:tcW w:w="212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外贸进出口总额</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亿美元</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5.9</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28</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restart"/>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社会发展</w:t>
            </w: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公共服务投资年增长率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30　</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35　</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城镇化率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80　</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85　</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创造新的就业岗位</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万个</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　</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　</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restart"/>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环境质量</w:t>
            </w: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空气质量优良率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75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噪声指标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工业固体废弃物无害化处理率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城镇生活垃圾处理率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生活污水集中处置率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90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工业污水排放达标率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工业废气净化处理率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100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建成区绿化率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tcPr>
          <w:p>
            <w:pPr>
              <w:spacing w:line="380" w:lineRule="exact"/>
              <w:jc w:val="center"/>
              <w:rPr>
                <w:rFonts w:hint="default" w:ascii="Times New Roman" w:hAnsi="Times New Roman" w:eastAsia="仿宋" w:cs="Times New Roman"/>
                <w:color w:val="000000" w:themeColor="text1"/>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restart"/>
            <w:vAlign w:val="center"/>
          </w:tcPr>
          <w:p>
            <w:pPr>
              <w:widowControl/>
              <w:spacing w:line="380" w:lineRule="exact"/>
              <w:jc w:val="center"/>
              <w:rPr>
                <w:rFonts w:hint="default" w:ascii="Times New Roman" w:hAnsi="Times New Roman" w:eastAsia="仿宋" w:cs="Times New Roman"/>
                <w:b/>
                <w:bCs/>
                <w:color w:val="000000" w:themeColor="text1"/>
                <w:kern w:val="0"/>
                <w:sz w:val="21"/>
                <w:szCs w:val="21"/>
                <w14:textFill>
                  <w14:solidFill>
                    <w14:schemeClr w14:val="tx1"/>
                  </w14:solidFill>
                </w14:textFill>
              </w:rPr>
            </w:pPr>
            <w:r>
              <w:rPr>
                <w:rFonts w:hint="default" w:ascii="Times New Roman" w:hAnsi="Times New Roman" w:eastAsia="仿宋" w:cs="Times New Roman"/>
                <w:b/>
                <w:bCs/>
                <w:color w:val="000000" w:themeColor="text1"/>
                <w:kern w:val="0"/>
                <w:sz w:val="21"/>
                <w:szCs w:val="21"/>
                <w14:textFill>
                  <w14:solidFill>
                    <w14:schemeClr w14:val="tx1"/>
                  </w14:solidFill>
                </w14:textFill>
              </w:rPr>
              <w:t>资源利用</w:t>
            </w: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规模工业万元增加值能耗下降率</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百分比</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4.5</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每万元GDP能耗</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吨标煤</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0.7tce</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0.5tce</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-6.51%</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单位工业增加值能耗</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吨标煤</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0.8tce</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0.65tce</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-4.07%</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单位GDP电耗</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千瓦时</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500</w:t>
            </w:r>
          </w:p>
        </w:tc>
        <w:tc>
          <w:tcPr>
            <w:tcW w:w="916"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-4.36%</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单位面积投资强度</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万元/亩</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916" w:type="dxa"/>
            <w:vAlign w:val="center"/>
          </w:tcPr>
          <w:p>
            <w:pPr>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200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7" w:hRule="atLeast"/>
          <w:jc w:val="center"/>
        </w:trPr>
        <w:tc>
          <w:tcPr>
            <w:tcW w:w="758" w:type="dxa"/>
            <w:vMerge w:val="continue"/>
            <w:vAlign w:val="center"/>
          </w:tcPr>
          <w:p>
            <w:pPr>
              <w:widowControl/>
              <w:spacing w:line="380" w:lineRule="exact"/>
              <w:jc w:val="left"/>
              <w:rPr>
                <w:rFonts w:hint="default" w:ascii="Times New Roman" w:hAnsi="Times New Roman" w:eastAsia="仿宋" w:cs="Times New Roman"/>
                <w:b/>
                <w:bCs/>
                <w:color w:val="000000" w:themeColor="text1"/>
                <w:kern w:val="0"/>
                <w:sz w:val="21"/>
                <w:szCs w:val="21"/>
                <w14:textFill>
                  <w14:solidFill>
                    <w14:schemeClr w14:val="tx1"/>
                  </w14:solidFill>
                </w14:textFill>
              </w:rPr>
            </w:pPr>
          </w:p>
        </w:tc>
        <w:tc>
          <w:tcPr>
            <w:tcW w:w="2927" w:type="dxa"/>
            <w:gridSpan w:val="2"/>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单位面积产出强度</w:t>
            </w:r>
          </w:p>
        </w:tc>
        <w:tc>
          <w:tcPr>
            <w:tcW w:w="110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万元/亩</w:t>
            </w:r>
          </w:p>
        </w:tc>
        <w:tc>
          <w:tcPr>
            <w:tcW w:w="1043"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sz w:val="21"/>
                <w:szCs w:val="21"/>
                <w14:textFill>
                  <w14:solidFill>
                    <w14:schemeClr w14:val="tx1"/>
                  </w14:solidFill>
                </w14:textFill>
              </w:rPr>
              <w:t>——</w:t>
            </w: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916" w:type="dxa"/>
            <w:vAlign w:val="center"/>
          </w:tcPr>
          <w:p>
            <w:pPr>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300</w:t>
            </w:r>
          </w:p>
        </w:tc>
        <w:tc>
          <w:tcPr>
            <w:tcW w:w="974"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　</w:t>
            </w:r>
          </w:p>
        </w:tc>
        <w:tc>
          <w:tcPr>
            <w:tcW w:w="868" w:type="dxa"/>
            <w:vAlign w:val="center"/>
          </w:tcPr>
          <w:p>
            <w:pPr>
              <w:widowControl/>
              <w:spacing w:line="380" w:lineRule="exact"/>
              <w:jc w:val="center"/>
              <w:rPr>
                <w:rFonts w:hint="default" w:ascii="Times New Roman" w:hAnsi="Times New Roman" w:eastAsia="仿宋" w:cs="Times New Roman"/>
                <w:color w:val="000000" w:themeColor="text1"/>
                <w:kern w:val="0"/>
                <w:sz w:val="21"/>
                <w:szCs w:val="21"/>
                <w14:textFill>
                  <w14:solidFill>
                    <w14:schemeClr w14:val="tx1"/>
                  </w14:solidFill>
                </w14:textFill>
              </w:rPr>
            </w:pPr>
            <w:r>
              <w:rPr>
                <w:rFonts w:hint="default" w:ascii="Times New Roman" w:hAnsi="Times New Roman" w:eastAsia="仿宋" w:cs="Times New Roman"/>
                <w:color w:val="000000" w:themeColor="text1"/>
                <w:kern w:val="0"/>
                <w:sz w:val="21"/>
                <w:szCs w:val="21"/>
                <w14:textFill>
                  <w14:solidFill>
                    <w14:schemeClr w14:val="tx1"/>
                  </w14:solidFill>
                </w14:textFill>
              </w:rPr>
              <w:t>约束性</w:t>
            </w:r>
          </w:p>
        </w:tc>
      </w:tr>
    </w:tbl>
    <w:p>
      <w:pPr>
        <w:jc w:val="both"/>
        <w:rPr>
          <w:b/>
          <w:color w:val="000000" w:themeColor="text1"/>
          <w:sz w:val="44"/>
          <w:szCs w:val="44"/>
          <w14:textFill>
            <w14:solidFill>
              <w14:schemeClr w14:val="tx1"/>
            </w14:solidFill>
          </w14:textFill>
        </w:rPr>
      </w:pPr>
    </w:p>
    <w:sectPr>
      <w:pgSz w:w="11906" w:h="16838"/>
      <w:pgMar w:top="1440" w:right="1797" w:bottom="1440" w:left="1797" w:header="851" w:footer="992" w:gutter="0"/>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Haettenschweiler">
    <w:panose1 w:val="020B0706040902060204"/>
    <w:charset w:val="00"/>
    <w:family w:val="swiss"/>
    <w:pitch w:val="default"/>
    <w:sig w:usb0="00000287" w:usb1="00000000" w:usb2="00000000" w:usb3="00000000" w:csb0="2000009F" w:csb1="DFD70000"/>
  </w:font>
  <w:font w:name="Comic Sans MS">
    <w:panose1 w:val="030F0702030302020204"/>
    <w:charset w:val="00"/>
    <w:family w:val="script"/>
    <w:pitch w:val="default"/>
    <w:sig w:usb0="00000287" w:usb1="00000000" w:usb2="00000000" w:usb3="00000000" w:csb0="2000009F" w:csb1="00000000"/>
  </w:font>
  <w:font w:name="汉仪中黑简">
    <w:altName w:val="黑体"/>
    <w:panose1 w:val="02010609000101010101"/>
    <w:charset w:val="86"/>
    <w:family w:val="modern"/>
    <w:pitch w:val="default"/>
    <w:sig w:usb0="00000000" w:usb1="00000000" w:usb2="00000012" w:usb3="00000000" w:csb0="00040000" w:csb1="00000000"/>
  </w:font>
  <w:font w:name="MS Mincho">
    <w:panose1 w:val="02020609040205080304"/>
    <w:charset w:val="80"/>
    <w:family w:val="roman"/>
    <w:pitch w:val="default"/>
    <w:sig w:usb0="E00002FF" w:usb1="6AC7FDFB" w:usb2="00000012" w:usb3="00000000" w:csb0="4002009F" w:csb1="DFD70000"/>
  </w:font>
  <w:font w:name="华文楷体">
    <w:panose1 w:val="02010600040101010101"/>
    <w:charset w:val="86"/>
    <w:family w:val="auto"/>
    <w:pitch w:val="default"/>
    <w:sig w:usb0="00000287" w:usb1="080F0000" w:usb2="00000000" w:usb3="00000000" w:csb0="0004009F" w:csb1="DFD70000"/>
  </w:font>
  <w:font w:name="隶书">
    <w:panose1 w:val="02010509060101010101"/>
    <w:charset w:val="86"/>
    <w:family w:val="auto"/>
    <w:pitch w:val="default"/>
    <w:sig w:usb0="00000001" w:usb1="080E0000" w:usb2="00000000" w:usb3="00000000" w:csb0="00040000" w:csb1="00000000"/>
  </w:font>
  <w:font w:name="方正大标宋简体">
    <w:altName w:val="宋体"/>
    <w:panose1 w:val="02010601030001010101"/>
    <w:charset w:val="86"/>
    <w:family w:val="auto"/>
    <w:pitch w:val="default"/>
    <w:sig w:usb0="00000000" w:usb1="00000000" w:usb2="00000000" w:usb3="00000000" w:csb0="00040000" w:csb1="00000000"/>
  </w:font>
  <w:font w:name="方正小标宋简体">
    <w:altName w:val="宋体"/>
    <w:panose1 w:val="02010601030001010101"/>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方正大标宋_GBK">
    <w:altName w:val="宋体"/>
    <w:panose1 w:val="03000509000000000000"/>
    <w:charset w:val="86"/>
    <w:family w:val="auto"/>
    <w:pitch w:val="default"/>
    <w:sig w:usb0="00000000" w:usb1="00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Arial Narrow">
    <w:panose1 w:val="020B0606020202030204"/>
    <w:charset w:val="00"/>
    <w:family w:val="swiss"/>
    <w:pitch w:val="default"/>
    <w:sig w:usb0="00000287" w:usb1="00000800" w:usb2="00000000" w:usb3="00000000" w:csb0="2000009F" w:csb1="DFD70000"/>
  </w:font>
  <w:font w:name="Calibri Light">
    <w:panose1 w:val="020F0302020204030204"/>
    <w:charset w:val="00"/>
    <w:family w:val="swiss"/>
    <w:pitch w:val="default"/>
    <w:sig w:usb0="A00002EF" w:usb1="4000207B" w:usb2="00000000"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Times">
    <w:altName w:val="Times New Roman"/>
    <w:panose1 w:val="02020603050004020304"/>
    <w:charset w:val="00"/>
    <w:family w:val="roman"/>
    <w:pitch w:val="default"/>
    <w:sig w:usb0="00000000" w:usb1="00000000" w:usb2="00000009" w:usb3="00000000" w:csb0="000001FF" w:csb1="00000000"/>
  </w:font>
  <w:font w:name="宋体 ! important">
    <w:altName w:val="宋体"/>
    <w:panose1 w:val="00000000000000000000"/>
    <w:charset w:val="00"/>
    <w:family w:val="auto"/>
    <w:pitch w:val="default"/>
    <w:sig w:usb0="00000000" w:usb1="00000000" w:usb2="00000000" w:usb3="00000000" w:csb0="00040001" w:csb1="00000000"/>
  </w:font>
  <w:font w:name="方正琥珀_GBK">
    <w:altName w:val="黑体"/>
    <w:panose1 w:val="03000509000000000000"/>
    <w:charset w:val="86"/>
    <w:family w:val="auto"/>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 w:name="MS PGothic">
    <w:panose1 w:val="020B0600070205080204"/>
    <w:charset w:val="80"/>
    <w:family w:val="auto"/>
    <w:pitch w:val="default"/>
    <w:sig w:usb0="E00002FF" w:usb1="6AC7FDFB" w:usb2="00000012" w:usb3="00000000" w:csb0="4002009F" w:csb1="DFD7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end"/>
    </w:r>
  </w:p>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684"/>
        <w:tab w:val="clear" w:pos="4153"/>
      </w:tabs>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Style w:val="11"/>
                            </w:rPr>
                          </w:pPr>
                          <w:r>
                            <w:rPr>
                              <w:rStyle w:val="11"/>
                            </w:rPr>
                            <w:fldChar w:fldCharType="begin"/>
                          </w:r>
                          <w:r>
                            <w:rPr>
                              <w:rStyle w:val="11"/>
                            </w:rPr>
                            <w:instrText xml:space="preserve">PAGE  </w:instrText>
                          </w:r>
                          <w:r>
                            <w:rPr>
                              <w:rStyle w:val="11"/>
                            </w:rPr>
                            <w:fldChar w:fldCharType="separate"/>
                          </w:r>
                          <w:r>
                            <w:rPr>
                              <w:rStyle w:val="11"/>
                            </w:rPr>
                            <w:t>III</w:t>
                          </w:r>
                          <w:r>
                            <w:rPr>
                              <w:rStyle w:val="1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pStyle w:val="6"/>
                      <w:rPr>
                        <w:rStyle w:val="11"/>
                      </w:rPr>
                    </w:pPr>
                    <w:r>
                      <w:rPr>
                        <w:rStyle w:val="11"/>
                      </w:rPr>
                      <w:fldChar w:fldCharType="begin"/>
                    </w:r>
                    <w:r>
                      <w:rPr>
                        <w:rStyle w:val="11"/>
                      </w:rPr>
                      <w:instrText xml:space="preserve">PAGE  </w:instrText>
                    </w:r>
                    <w:r>
                      <w:rPr>
                        <w:rStyle w:val="11"/>
                      </w:rPr>
                      <w:fldChar w:fldCharType="separate"/>
                    </w:r>
                    <w:r>
                      <w:rPr>
                        <w:rStyle w:val="11"/>
                      </w:rPr>
                      <w:t>III</w:t>
                    </w:r>
                    <w:r>
                      <w:rPr>
                        <w:rStyle w:val="11"/>
                      </w:rP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left" w:pos="4684"/>
        <w:tab w:val="clear" w:pos="4153"/>
      </w:tabs>
    </w:pP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ind w:right="360"/>
                            <w:jc w:val="center"/>
                          </w:pPr>
                          <w:r>
                            <w:rPr>
                              <w:rFonts w:hint="eastAsia"/>
                            </w:rPr>
                            <w:t>第</w:t>
                          </w:r>
                          <w:r>
                            <w:rPr>
                              <w:rStyle w:val="11"/>
                            </w:rPr>
                            <w:fldChar w:fldCharType="begin"/>
                          </w:r>
                          <w:r>
                            <w:rPr>
                              <w:rStyle w:val="11"/>
                            </w:rPr>
                            <w:instrText xml:space="preserve"> PAGE </w:instrText>
                          </w:r>
                          <w:r>
                            <w:rPr>
                              <w:rStyle w:val="11"/>
                            </w:rPr>
                            <w:fldChar w:fldCharType="separate"/>
                          </w:r>
                          <w:r>
                            <w:rPr>
                              <w:rStyle w:val="11"/>
                            </w:rPr>
                            <w:t>4</w:t>
                          </w:r>
                          <w:r>
                            <w:rPr>
                              <w:rStyle w:val="11"/>
                            </w:rPr>
                            <w:fldChar w:fldCharType="end"/>
                          </w:r>
                          <w:r>
                            <w:rPr>
                              <w:rStyle w:val="11"/>
                              <w:rFonts w:hint="eastAsia"/>
                            </w:rPr>
                            <w:t>页  共 42页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6"/>
                      <w:ind w:right="360"/>
                      <w:jc w:val="center"/>
                    </w:pPr>
                    <w:r>
                      <w:rPr>
                        <w:rFonts w:hint="eastAsia"/>
                      </w:rPr>
                      <w:t>第</w:t>
                    </w:r>
                    <w:r>
                      <w:rPr>
                        <w:rStyle w:val="11"/>
                      </w:rPr>
                      <w:fldChar w:fldCharType="begin"/>
                    </w:r>
                    <w:r>
                      <w:rPr>
                        <w:rStyle w:val="11"/>
                      </w:rPr>
                      <w:instrText xml:space="preserve"> PAGE </w:instrText>
                    </w:r>
                    <w:r>
                      <w:rPr>
                        <w:rStyle w:val="11"/>
                      </w:rPr>
                      <w:fldChar w:fldCharType="separate"/>
                    </w:r>
                    <w:r>
                      <w:rPr>
                        <w:rStyle w:val="11"/>
                      </w:rPr>
                      <w:t>4</w:t>
                    </w:r>
                    <w:r>
                      <w:rPr>
                        <w:rStyle w:val="11"/>
                      </w:rPr>
                      <w:fldChar w:fldCharType="end"/>
                    </w:r>
                    <w:r>
                      <w:rPr>
                        <w:rStyle w:val="11"/>
                        <w:rFonts w:hint="eastAsia"/>
                      </w:rPr>
                      <w:t>页  共 42页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center" w:y="1"/>
      <w:rPr>
        <w:rStyle w:val="11"/>
      </w:rPr>
    </w:pPr>
    <w:r>
      <w:rPr>
        <w:rStyle w:val="11"/>
      </w:rPr>
      <w:fldChar w:fldCharType="begin"/>
    </w:r>
    <w:r>
      <w:rPr>
        <w:rStyle w:val="11"/>
      </w:rPr>
      <w:instrText xml:space="preserve">PAGE  </w:instrText>
    </w:r>
    <w:r>
      <w:rPr>
        <w:rStyle w:val="11"/>
      </w:rPr>
      <w:fldChar w:fldCharType="separate"/>
    </w:r>
    <w:r>
      <w:rPr>
        <w:rStyle w:val="11"/>
      </w:rPr>
      <w:t>1</w:t>
    </w:r>
    <w:r>
      <w:rPr>
        <w:rStyle w:val="11"/>
      </w:rPr>
      <w:fldChar w:fldCharType="end"/>
    </w:r>
  </w:p>
  <w:p>
    <w:pPr>
      <w:pStyle w:val="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t>“金霞杯”第二届湖南省大学生物现代物流设计大赛比赛案例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21"/>
        <w:szCs w:val="21"/>
      </w:rPr>
    </w:pPr>
    <w:r>
      <w:rPr>
        <w:rFonts w:hint="eastAsia"/>
        <w:sz w:val="21"/>
        <w:szCs w:val="21"/>
      </w:rPr>
      <w:t>“金霞杯”第二届湖南省大学生现代物流设计大赛案例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sz w:val="21"/>
        <w:szCs w:val="21"/>
      </w:rPr>
    </w:pPr>
    <w:r>
      <w:rPr>
        <w:rFonts w:hint="eastAsia"/>
        <w:sz w:val="21"/>
        <w:szCs w:val="21"/>
      </w:rPr>
      <w:t>“SF杯”第三届全国大学生物流设计大赛案例</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076"/>
    <w:rsid w:val="00154C76"/>
    <w:rsid w:val="00225F71"/>
    <w:rsid w:val="002421FD"/>
    <w:rsid w:val="00281C62"/>
    <w:rsid w:val="00327AAC"/>
    <w:rsid w:val="00354343"/>
    <w:rsid w:val="00364ACD"/>
    <w:rsid w:val="003A4382"/>
    <w:rsid w:val="003F1EC2"/>
    <w:rsid w:val="003F6CB3"/>
    <w:rsid w:val="00404A6C"/>
    <w:rsid w:val="004365E0"/>
    <w:rsid w:val="004429DE"/>
    <w:rsid w:val="004462D1"/>
    <w:rsid w:val="00485742"/>
    <w:rsid w:val="004C0E60"/>
    <w:rsid w:val="004E1D07"/>
    <w:rsid w:val="00527702"/>
    <w:rsid w:val="0053099F"/>
    <w:rsid w:val="005721AE"/>
    <w:rsid w:val="005776A1"/>
    <w:rsid w:val="005C6E5E"/>
    <w:rsid w:val="005D3D4A"/>
    <w:rsid w:val="005F602A"/>
    <w:rsid w:val="00611837"/>
    <w:rsid w:val="006639BE"/>
    <w:rsid w:val="00691D03"/>
    <w:rsid w:val="006F5719"/>
    <w:rsid w:val="007449F3"/>
    <w:rsid w:val="00752D7B"/>
    <w:rsid w:val="00755CE5"/>
    <w:rsid w:val="00791875"/>
    <w:rsid w:val="00845139"/>
    <w:rsid w:val="008630DE"/>
    <w:rsid w:val="0088440E"/>
    <w:rsid w:val="008A5076"/>
    <w:rsid w:val="008C7FFC"/>
    <w:rsid w:val="00945711"/>
    <w:rsid w:val="009F399C"/>
    <w:rsid w:val="00A46A99"/>
    <w:rsid w:val="00A512FC"/>
    <w:rsid w:val="00A548F8"/>
    <w:rsid w:val="00A54D37"/>
    <w:rsid w:val="00A5655E"/>
    <w:rsid w:val="00A83CF6"/>
    <w:rsid w:val="00A87093"/>
    <w:rsid w:val="00C06A85"/>
    <w:rsid w:val="00C14E27"/>
    <w:rsid w:val="00C933C6"/>
    <w:rsid w:val="00C9546F"/>
    <w:rsid w:val="00CC28AF"/>
    <w:rsid w:val="00CD74B7"/>
    <w:rsid w:val="00D056EC"/>
    <w:rsid w:val="00D4283C"/>
    <w:rsid w:val="00D50FD3"/>
    <w:rsid w:val="00DF655F"/>
    <w:rsid w:val="00E20EBB"/>
    <w:rsid w:val="00E35B35"/>
    <w:rsid w:val="00E869D8"/>
    <w:rsid w:val="00F52298"/>
    <w:rsid w:val="04E0520E"/>
    <w:rsid w:val="05DD2A9A"/>
    <w:rsid w:val="061C3F05"/>
    <w:rsid w:val="08AA74AB"/>
    <w:rsid w:val="08F71DBD"/>
    <w:rsid w:val="0D136BF8"/>
    <w:rsid w:val="0DCF5207"/>
    <w:rsid w:val="0DDA2DB6"/>
    <w:rsid w:val="0E2D316C"/>
    <w:rsid w:val="0E586A9B"/>
    <w:rsid w:val="0E904732"/>
    <w:rsid w:val="15ED0E83"/>
    <w:rsid w:val="162C6F20"/>
    <w:rsid w:val="16E61CEB"/>
    <w:rsid w:val="18AA6668"/>
    <w:rsid w:val="1DC512D9"/>
    <w:rsid w:val="21610536"/>
    <w:rsid w:val="21B931BB"/>
    <w:rsid w:val="221170A8"/>
    <w:rsid w:val="25180255"/>
    <w:rsid w:val="27F65636"/>
    <w:rsid w:val="28707321"/>
    <w:rsid w:val="296554F8"/>
    <w:rsid w:val="2A5D54C6"/>
    <w:rsid w:val="2A746ACA"/>
    <w:rsid w:val="2B1F2877"/>
    <w:rsid w:val="2CBB4DD4"/>
    <w:rsid w:val="2D72348F"/>
    <w:rsid w:val="2D7D43D1"/>
    <w:rsid w:val="2FCE254D"/>
    <w:rsid w:val="30C86149"/>
    <w:rsid w:val="31285F69"/>
    <w:rsid w:val="31821B2A"/>
    <w:rsid w:val="341D061D"/>
    <w:rsid w:val="34840F7D"/>
    <w:rsid w:val="34F12769"/>
    <w:rsid w:val="390901F9"/>
    <w:rsid w:val="39405DB5"/>
    <w:rsid w:val="3A1D261B"/>
    <w:rsid w:val="3ABC6EA7"/>
    <w:rsid w:val="3C3C14F6"/>
    <w:rsid w:val="3CDE2F91"/>
    <w:rsid w:val="3D795B77"/>
    <w:rsid w:val="3E673E54"/>
    <w:rsid w:val="3E7E1A22"/>
    <w:rsid w:val="3FC12CC9"/>
    <w:rsid w:val="41A04150"/>
    <w:rsid w:val="42343ECF"/>
    <w:rsid w:val="47D01381"/>
    <w:rsid w:val="48DB1BD9"/>
    <w:rsid w:val="49302540"/>
    <w:rsid w:val="496B1565"/>
    <w:rsid w:val="498E4DB6"/>
    <w:rsid w:val="4A2C78F9"/>
    <w:rsid w:val="4E0A7B47"/>
    <w:rsid w:val="4F5F31DE"/>
    <w:rsid w:val="50183029"/>
    <w:rsid w:val="522C72FF"/>
    <w:rsid w:val="552B6EF1"/>
    <w:rsid w:val="563C4744"/>
    <w:rsid w:val="56436A28"/>
    <w:rsid w:val="569829ED"/>
    <w:rsid w:val="58817A4F"/>
    <w:rsid w:val="599E07CB"/>
    <w:rsid w:val="5BC20FB8"/>
    <w:rsid w:val="5CB35747"/>
    <w:rsid w:val="5D837F4C"/>
    <w:rsid w:val="5DB74880"/>
    <w:rsid w:val="5F532330"/>
    <w:rsid w:val="5FA86700"/>
    <w:rsid w:val="5FC70BAF"/>
    <w:rsid w:val="622355CE"/>
    <w:rsid w:val="648D047D"/>
    <w:rsid w:val="648D20A7"/>
    <w:rsid w:val="65695359"/>
    <w:rsid w:val="695F0512"/>
    <w:rsid w:val="69987554"/>
    <w:rsid w:val="6A3C4309"/>
    <w:rsid w:val="6D292C42"/>
    <w:rsid w:val="6F03721B"/>
    <w:rsid w:val="702B67D0"/>
    <w:rsid w:val="70A92DDE"/>
    <w:rsid w:val="7250300B"/>
    <w:rsid w:val="74767E47"/>
    <w:rsid w:val="753346FB"/>
    <w:rsid w:val="76F25FCE"/>
    <w:rsid w:val="7783202B"/>
    <w:rsid w:val="779904CB"/>
    <w:rsid w:val="791A43A5"/>
    <w:rsid w:val="7A2E589D"/>
    <w:rsid w:val="7BBF772E"/>
    <w:rsid w:val="7E556241"/>
    <w:rsid w:val="7F097F5F"/>
    <w:rsid w:val="7F941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5"/>
    <w:basedOn w:val="1"/>
    <w:next w:val="1"/>
    <w:unhideWhenUsed/>
    <w:qFormat/>
    <w:uiPriority w:val="9"/>
    <w:pPr>
      <w:spacing w:before="120" w:beforeLines="0" w:after="120" w:afterLines="0"/>
      <w:ind w:firstLine="0" w:firstLineChars="0"/>
      <w:jc w:val="center"/>
      <w:outlineLvl w:val="4"/>
    </w:pPr>
    <w:rPr>
      <w:rFonts w:ascii="Arial" w:hAnsi="Arial" w:eastAsia="黑体"/>
      <w:sz w:val="18"/>
    </w:rPr>
  </w:style>
  <w:style w:type="character" w:default="1" w:styleId="10">
    <w:name w:val="Default Paragraph Font"/>
    <w:unhideWhenUsed/>
    <w:qFormat/>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8"/>
    <w:unhideWhenUsed/>
    <w:qFormat/>
    <w:uiPriority w:val="99"/>
    <w:rPr>
      <w:sz w:val="18"/>
      <w:szCs w:val="18"/>
    </w:rPr>
  </w:style>
  <w:style w:type="paragraph" w:styleId="6">
    <w:name w:val="footer"/>
    <w:basedOn w:val="1"/>
    <w:link w:val="16"/>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8">
    <w:name w:val="footnote text"/>
    <w:basedOn w:val="1"/>
    <w:link w:val="15"/>
    <w:semiHidden/>
    <w:qFormat/>
    <w:uiPriority w:val="0"/>
    <w:pPr>
      <w:snapToGrid w:val="0"/>
      <w:jc w:val="left"/>
    </w:pPr>
    <w:rPr>
      <w:rFonts w:ascii="Times New Roman" w:hAnsi="Times New Roman" w:eastAsia="宋体" w:cs="Times New Roman"/>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1">
    <w:name w:val="page number"/>
    <w:basedOn w:val="10"/>
    <w:qFormat/>
    <w:uiPriority w:val="0"/>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14">
    <w:name w:val="Light Shading Accent 1"/>
    <w:basedOn w:val="12"/>
    <w:qFormat/>
    <w:uiPriority w:val="60"/>
    <w:rPr>
      <w:color w:val="376092" w:themeColor="accent1" w:themeShade="BF"/>
    </w:rPr>
    <w:tblPr>
      <w:tblBorders>
        <w:top w:val="single" w:color="4F81BD" w:themeColor="accent1" w:sz="8" w:space="0"/>
        <w:bottom w:val="single" w:color="4F81BD" w:themeColor="accent1" w:sz="8" w:space="0"/>
      </w:tblBorders>
      <w:tblLayout w:type="fixed"/>
    </w:tblPr>
    <w:tblStylePr w:type="firstRow">
      <w:pPr>
        <w:spacing w:before="0" w:after="0" w:line="240" w:lineRule="auto"/>
      </w:pPr>
      <w:rPr>
        <w:b/>
        <w:bCs/>
      </w:rPr>
      <w:tblPr>
        <w:tblLayout w:type="fixed"/>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blLayout w:type="fixed"/>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blLayout w:type="fixed"/>
      </w:tblPr>
      <w:tcPr>
        <w:tcBorders>
          <w:left w:val="nil"/>
          <w:right w:val="nil"/>
          <w:insideH w:val="nil"/>
          <w:insideV w:val="nil"/>
        </w:tcBorders>
        <w:shd w:val="clear" w:color="auto" w:fill="D3DFEE" w:themeFill="accent1" w:themeFillTint="3F"/>
      </w:tcPr>
    </w:tblStylePr>
    <w:tblStylePr w:type="band1Horz">
      <w:tblPr>
        <w:tblLayout w:type="fixed"/>
      </w:tblPr>
      <w:tcPr>
        <w:tcBorders>
          <w:left w:val="nil"/>
          <w:right w:val="nil"/>
          <w:insideH w:val="nil"/>
          <w:insideV w:val="nil"/>
        </w:tcBorders>
        <w:shd w:val="clear" w:color="auto" w:fill="D3DFEE" w:themeFill="accent1" w:themeFillTint="3F"/>
      </w:tcPr>
    </w:tblStylePr>
  </w:style>
  <w:style w:type="character" w:customStyle="1" w:styleId="15">
    <w:name w:val="脚注文本 Char"/>
    <w:basedOn w:val="10"/>
    <w:link w:val="8"/>
    <w:semiHidden/>
    <w:qFormat/>
    <w:uiPriority w:val="0"/>
    <w:rPr>
      <w:rFonts w:ascii="Times New Roman" w:hAnsi="Times New Roman" w:eastAsia="宋体" w:cs="Times New Roman"/>
      <w:sz w:val="18"/>
      <w:szCs w:val="18"/>
    </w:rPr>
  </w:style>
  <w:style w:type="character" w:customStyle="1" w:styleId="16">
    <w:name w:val="页脚 Char"/>
    <w:basedOn w:val="10"/>
    <w:link w:val="6"/>
    <w:qFormat/>
    <w:uiPriority w:val="0"/>
    <w:rPr>
      <w:rFonts w:ascii="Times New Roman" w:hAnsi="Times New Roman" w:eastAsia="宋体" w:cs="Times New Roman"/>
      <w:sz w:val="18"/>
      <w:szCs w:val="18"/>
    </w:rPr>
  </w:style>
  <w:style w:type="character" w:customStyle="1" w:styleId="17">
    <w:name w:val="页眉 Char"/>
    <w:basedOn w:val="10"/>
    <w:link w:val="7"/>
    <w:qFormat/>
    <w:uiPriority w:val="0"/>
    <w:rPr>
      <w:rFonts w:ascii="Times New Roman" w:hAnsi="Times New Roman" w:eastAsia="宋体" w:cs="Times New Roman"/>
      <w:sz w:val="18"/>
      <w:szCs w:val="18"/>
    </w:rPr>
  </w:style>
  <w:style w:type="character" w:customStyle="1" w:styleId="18">
    <w:name w:val="批注框文本 Char"/>
    <w:basedOn w:val="10"/>
    <w:link w:val="5"/>
    <w:semiHidden/>
    <w:qFormat/>
    <w:uiPriority w:val="99"/>
    <w:rPr>
      <w:sz w:val="18"/>
      <w:szCs w:val="18"/>
    </w:rPr>
  </w:style>
  <w:style w:type="paragraph" w:customStyle="1" w:styleId="19">
    <w:name w:val="p16"/>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0">
    <w:name w:val="ca-41"/>
    <w:qFormat/>
    <w:uiPriority w:val="0"/>
    <w:rPr>
      <w:rFonts w:hint="eastAsia" w:ascii="仿宋_GB2312" w:hAnsi="Tahoma" w:eastAsia="仿宋_GB2312"/>
      <w:kern w:val="0"/>
      <w:sz w:val="32"/>
      <w:szCs w:val="32"/>
      <w:lang w:eastAsia="en-US"/>
    </w:rPr>
  </w:style>
  <w:style w:type="character" w:customStyle="1" w:styleId="21">
    <w:name w:val="标题 1 Char"/>
    <w:basedOn w:val="10"/>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header" Target="header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37329;&#38686;&#20849;&#21516;&#37197;&#36865;\&#24037;&#20316;&#31807;1.et"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37329;&#38686;&#20849;&#21516;&#37197;&#36865;\&#24037;&#20316;&#31807;1.et"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长沙年货运量</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[工作簿1.et]Sheet1!$B$1</c:f>
              <c:strCache>
                <c:ptCount val="1"/>
                <c:pt idx="0">
                  <c:v>货运量（万吨）</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[工作簿1.et]Sheet1!$A$2:$A$7</c:f>
              <c:numCache>
                <c:formatCode>General</c:formatCode>
                <c:ptCount val="6"/>
                <c:pt idx="0">
                  <c:v>2011</c:v>
                </c:pt>
                <c:pt idx="1">
                  <c:v>2012</c:v>
                </c:pt>
                <c:pt idx="2">
                  <c:v>2013</c:v>
                </c:pt>
                <c:pt idx="3">
                  <c:v>2014</c:v>
                </c:pt>
                <c:pt idx="4">
                  <c:v>2015</c:v>
                </c:pt>
                <c:pt idx="5">
                  <c:v>2016</c:v>
                </c:pt>
              </c:numCache>
            </c:numRef>
          </c:cat>
          <c:val>
            <c:numRef>
              <c:f>[工作簿1.et]Sheet1!$B$2:$B$7</c:f>
              <c:numCache>
                <c:formatCode>General</c:formatCode>
                <c:ptCount val="6"/>
                <c:pt idx="0">
                  <c:v>25656</c:v>
                </c:pt>
                <c:pt idx="1">
                  <c:v>26145</c:v>
                </c:pt>
                <c:pt idx="2">
                  <c:v>28048</c:v>
                </c:pt>
                <c:pt idx="3">
                  <c:v>30449</c:v>
                </c:pt>
                <c:pt idx="4">
                  <c:v>33932</c:v>
                </c:pt>
                <c:pt idx="5">
                  <c:v>36767</c:v>
                </c:pt>
              </c:numCache>
            </c:numRef>
          </c:val>
        </c:ser>
        <c:dLbls>
          <c:showLegendKey val="0"/>
          <c:showVal val="0"/>
          <c:showCatName val="0"/>
          <c:showSerName val="0"/>
          <c:showPercent val="0"/>
          <c:showBubbleSize val="0"/>
        </c:dLbls>
        <c:gapWidth val="219"/>
        <c:overlap val="-27"/>
        <c:axId val="958537069"/>
        <c:axId val="901915953"/>
      </c:barChart>
      <c:lineChart>
        <c:grouping val="standard"/>
        <c:varyColors val="0"/>
        <c:ser>
          <c:idx val="1"/>
          <c:order val="1"/>
          <c:tx>
            <c:strRef>
              <c:f>[工作簿1.et]Sheet1!$C$1</c:f>
              <c:strCache>
                <c:ptCount val="1"/>
                <c:pt idx="0">
                  <c:v>增长率</c:v>
                </c:pt>
              </c:strCache>
            </c:strRef>
          </c:tx>
          <c:spPr>
            <a:ln w="28575" cap="rnd" cmpd="sng" algn="ctr">
              <a:solidFill>
                <a:schemeClr val="accent2"/>
              </a:solidFill>
              <a:prstDash val="solid"/>
              <a:round/>
            </a:ln>
            <a:effectLst/>
          </c:spPr>
          <c:marker>
            <c:symbol val="none"/>
          </c:marker>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[工作簿1.et]Sheet1!$A$2:$A$7</c:f>
              <c:numCache>
                <c:formatCode>General</c:formatCode>
                <c:ptCount val="6"/>
                <c:pt idx="0">
                  <c:v>2011</c:v>
                </c:pt>
                <c:pt idx="1">
                  <c:v>2012</c:v>
                </c:pt>
                <c:pt idx="2">
                  <c:v>2013</c:v>
                </c:pt>
                <c:pt idx="3">
                  <c:v>2014</c:v>
                </c:pt>
                <c:pt idx="4">
                  <c:v>2015</c:v>
                </c:pt>
                <c:pt idx="5">
                  <c:v>2016</c:v>
                </c:pt>
              </c:numCache>
            </c:numRef>
          </c:cat>
          <c:val>
            <c:numRef>
              <c:f>[工作簿1.et]Sheet1!$C$2:$C$7</c:f>
              <c:numCache>
                <c:formatCode>0.00%</c:formatCode>
                <c:ptCount val="6"/>
                <c:pt idx="0">
                  <c:v>0.118</c:v>
                </c:pt>
                <c:pt idx="1">
                  <c:v>0.019</c:v>
                </c:pt>
                <c:pt idx="2">
                  <c:v>0.073</c:v>
                </c:pt>
                <c:pt idx="3">
                  <c:v>0.132</c:v>
                </c:pt>
                <c:pt idx="4">
                  <c:v>0.114</c:v>
                </c:pt>
                <c:pt idx="5">
                  <c:v>0.067</c:v>
                </c:pt>
              </c:numCache>
            </c:numRef>
          </c:val>
          <c:smooth val="0"/>
        </c:ser>
        <c:dLbls>
          <c:showLegendKey val="0"/>
          <c:showVal val="0"/>
          <c:showCatName val="0"/>
          <c:showSerName val="0"/>
          <c:showPercent val="0"/>
          <c:showBubbleSize val="0"/>
        </c:dLbls>
        <c:marker val="0"/>
        <c:smooth val="0"/>
        <c:axId val="334080748"/>
        <c:axId val="128133384"/>
      </c:lineChart>
      <c:catAx>
        <c:axId val="958537069"/>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1915953"/>
        <c:crosses val="autoZero"/>
        <c:auto val="1"/>
        <c:lblAlgn val="ctr"/>
        <c:lblOffset val="100"/>
        <c:noMultiLvlLbl val="0"/>
      </c:catAx>
      <c:valAx>
        <c:axId val="901915953"/>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8537069"/>
        <c:crosses val="autoZero"/>
        <c:crossBetween val="between"/>
      </c:valAx>
      <c:catAx>
        <c:axId val="334080748"/>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595959">
                    <a:alpha val="100000"/>
                  </a:srgbClr>
                </a:solidFill>
                <a:latin typeface="+mn-lt"/>
                <a:ea typeface="+mn-ea"/>
                <a:cs typeface="+mn-cs"/>
              </a:defRPr>
            </a:pPr>
          </a:p>
        </c:txPr>
        <c:crossAx val="128133384"/>
        <c:crosses val="autoZero"/>
        <c:auto val="1"/>
        <c:lblAlgn val="ctr"/>
        <c:lblOffset val="100"/>
        <c:noMultiLvlLbl val="0"/>
      </c:catAx>
      <c:valAx>
        <c:axId val="128133384"/>
        <c:scaling>
          <c:orientation val="minMax"/>
        </c:scaling>
        <c:delete val="0"/>
        <c:axPos val="r"/>
        <c:numFmt formatCode="0.00%"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4080748"/>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长沙年货物周转量</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tx>
            <c:strRef>
              <c:f>[工作簿1.et]Sheet1!$H$1</c:f>
              <c:strCache>
                <c:ptCount val="1"/>
                <c:pt idx="0">
                  <c:v>货物周转量（亿吨/公里）</c:v>
                </c:pt>
              </c:strCache>
            </c:strRef>
          </c:tx>
          <c:spPr>
            <a:solidFill>
              <a:schemeClr val="accent1"/>
            </a:solidFill>
            <a:ln>
              <a:noFill/>
            </a:ln>
            <a:effectLst/>
          </c:spPr>
          <c:invertIfNegative val="0"/>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[工作簿1.et]Sheet1!$G$2:$G$7</c:f>
              <c:numCache>
                <c:formatCode>General</c:formatCode>
                <c:ptCount val="6"/>
                <c:pt idx="0">
                  <c:v>2011</c:v>
                </c:pt>
                <c:pt idx="1">
                  <c:v>2012</c:v>
                </c:pt>
                <c:pt idx="2">
                  <c:v>2013</c:v>
                </c:pt>
                <c:pt idx="3">
                  <c:v>2014</c:v>
                </c:pt>
                <c:pt idx="4">
                  <c:v>2015</c:v>
                </c:pt>
                <c:pt idx="5">
                  <c:v>2016</c:v>
                </c:pt>
              </c:numCache>
            </c:numRef>
          </c:cat>
          <c:val>
            <c:numRef>
              <c:f>[工作簿1.et]Sheet1!$H$2:$H$7</c:f>
              <c:numCache>
                <c:formatCode>General</c:formatCode>
                <c:ptCount val="6"/>
                <c:pt idx="0">
                  <c:v>257.1</c:v>
                </c:pt>
                <c:pt idx="1">
                  <c:v>301.66</c:v>
                </c:pt>
                <c:pt idx="2">
                  <c:v>334.07</c:v>
                </c:pt>
                <c:pt idx="3">
                  <c:v>359.74</c:v>
                </c:pt>
                <c:pt idx="4">
                  <c:v>386.18</c:v>
                </c:pt>
                <c:pt idx="5">
                  <c:v>387.65</c:v>
                </c:pt>
              </c:numCache>
            </c:numRef>
          </c:val>
        </c:ser>
        <c:dLbls>
          <c:showLegendKey val="0"/>
          <c:showVal val="0"/>
          <c:showCatName val="0"/>
          <c:showSerName val="0"/>
          <c:showPercent val="0"/>
          <c:showBubbleSize val="0"/>
        </c:dLbls>
        <c:gapWidth val="219"/>
        <c:overlap val="-27"/>
        <c:axId val="502437820"/>
        <c:axId val="653027814"/>
      </c:barChart>
      <c:lineChart>
        <c:grouping val="standard"/>
        <c:varyColors val="0"/>
        <c:ser>
          <c:idx val="1"/>
          <c:order val="1"/>
          <c:tx>
            <c:strRef>
              <c:f>[工作簿1.et]Sheet1!$I$1</c:f>
              <c:strCache>
                <c:ptCount val="1"/>
                <c:pt idx="0">
                  <c:v>增长率</c:v>
                </c:pt>
              </c:strCache>
            </c:strRef>
          </c:tx>
          <c:spPr>
            <a:ln w="28575" cap="rnd" cmpd="sng" algn="ctr">
              <a:solidFill>
                <a:schemeClr val="accent2"/>
              </a:solidFill>
              <a:prstDash val="solid"/>
              <a:round/>
            </a:ln>
            <a:effectLst/>
          </c:spPr>
          <c:marker>
            <c:symbol val="none"/>
          </c:marker>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numRef>
              <c:f>[工作簿1.et]Sheet1!$G$2:$G$7</c:f>
              <c:numCache>
                <c:formatCode>General</c:formatCode>
                <c:ptCount val="6"/>
                <c:pt idx="0">
                  <c:v>2011</c:v>
                </c:pt>
                <c:pt idx="1">
                  <c:v>2012</c:v>
                </c:pt>
                <c:pt idx="2">
                  <c:v>2013</c:v>
                </c:pt>
                <c:pt idx="3">
                  <c:v>2014</c:v>
                </c:pt>
                <c:pt idx="4">
                  <c:v>2015</c:v>
                </c:pt>
                <c:pt idx="5">
                  <c:v>2016</c:v>
                </c:pt>
              </c:numCache>
            </c:numRef>
          </c:cat>
          <c:val>
            <c:numRef>
              <c:f>[工作簿1.et]Sheet1!$I$2:$I$7</c:f>
              <c:numCache>
                <c:formatCode>0.00%</c:formatCode>
                <c:ptCount val="6"/>
                <c:pt idx="0">
                  <c:v>0.172</c:v>
                </c:pt>
                <c:pt idx="1">
                  <c:v>0.173</c:v>
                </c:pt>
                <c:pt idx="2">
                  <c:v>0.107</c:v>
                </c:pt>
                <c:pt idx="3">
                  <c:v>0.122</c:v>
                </c:pt>
                <c:pt idx="4">
                  <c:v>0.074</c:v>
                </c:pt>
                <c:pt idx="5">
                  <c:v>0.068</c:v>
                </c:pt>
              </c:numCache>
            </c:numRef>
          </c:val>
          <c:smooth val="0"/>
        </c:ser>
        <c:dLbls>
          <c:showLegendKey val="0"/>
          <c:showVal val="0"/>
          <c:showCatName val="0"/>
          <c:showSerName val="0"/>
          <c:showPercent val="0"/>
          <c:showBubbleSize val="0"/>
        </c:dLbls>
        <c:marker val="0"/>
        <c:smooth val="0"/>
        <c:axId val="50944395"/>
        <c:axId val="312962672"/>
      </c:lineChart>
      <c:catAx>
        <c:axId val="50243782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3027814"/>
        <c:crosses val="autoZero"/>
        <c:auto val="1"/>
        <c:lblAlgn val="ctr"/>
        <c:lblOffset val="100"/>
        <c:noMultiLvlLbl val="0"/>
      </c:catAx>
      <c:valAx>
        <c:axId val="65302781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2437820"/>
        <c:crosses val="autoZero"/>
        <c:crossBetween val="between"/>
      </c:valAx>
      <c:catAx>
        <c:axId val="50944395"/>
        <c:scaling>
          <c:orientation val="minMax"/>
        </c:scaling>
        <c:delete val="1"/>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rgbClr val="595959">
                    <a:alpha val="100000"/>
                  </a:srgbClr>
                </a:solidFill>
                <a:latin typeface="+mn-lt"/>
                <a:ea typeface="+mn-ea"/>
                <a:cs typeface="+mn-cs"/>
              </a:defRPr>
            </a:pPr>
          </a:p>
        </c:txPr>
        <c:crossAx val="312962672"/>
        <c:crosses val="autoZero"/>
        <c:auto val="1"/>
        <c:lblAlgn val="ctr"/>
        <c:lblOffset val="100"/>
        <c:noMultiLvlLbl val="0"/>
      </c:catAx>
      <c:valAx>
        <c:axId val="312962672"/>
        <c:scaling>
          <c:orientation val="minMax"/>
        </c:scaling>
        <c:delete val="0"/>
        <c:axPos val="r"/>
        <c:numFmt formatCode="0.00%" sourceLinked="1"/>
        <c:majorTickMark val="out"/>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0944395"/>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42</Pages>
  <Words>3883</Words>
  <Characters>22138</Characters>
  <Lines>184</Lines>
  <Paragraphs>51</Paragraphs>
  <ScaleCrop>false</ScaleCrop>
  <LinksUpToDate>false</LinksUpToDate>
  <CharactersWithSpaces>25970</CharactersWithSpaces>
  <Application>WPS Office_10.1.0.6391_F1E327BC-269C-435d-A152-05C5408002CA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2017-05-16T00:46:00Z</dcterms:created>
  <dc:creator>USER</dc:creator>
  <cp:lastModifiedBy>lenovo</cp:lastModifiedBy>
  <cp:lastPrinted>2017-05-25T07:53:00Z</cp:lastPrinted>
  <dcterms:modified xsi:type="dcterms:W3CDTF">2017-06-01T03:18:45Z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2052-10.1.0.6391</vt:lpwstr>
  </property>
</Properties>
</file>