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3" w:firstLineChars="200"/>
        <w:jc w:val="center"/>
        <w:rPr>
          <w:rFonts w:ascii="黑体" w:hAnsi="黑体" w:eastAsia="黑体"/>
          <w:b/>
          <w:sz w:val="36"/>
          <w:szCs w:val="36"/>
          <w:lang w:val="en-US"/>
        </w:rPr>
      </w:pPr>
      <w:r>
        <w:rPr>
          <w:rFonts w:ascii="黑体" w:hAnsi="黑体" w:eastAsia="黑体"/>
          <w:b/>
          <w:sz w:val="36"/>
          <w:szCs w:val="36"/>
        </w:rPr>
        <w:t>2017</w:t>
      </w:r>
      <w:r>
        <w:rPr>
          <w:rFonts w:hint="eastAsia" w:ascii="黑体" w:hAnsi="黑体" w:eastAsia="黑体"/>
          <w:b/>
          <w:sz w:val="36"/>
          <w:szCs w:val="36"/>
        </w:rPr>
        <w:t>年学院二级单位党风廉政建设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工作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--自评表</w:t>
      </w:r>
    </w:p>
    <w:tbl>
      <w:tblPr>
        <w:tblStyle w:val="6"/>
        <w:tblpPr w:leftFromText="180" w:rightFromText="180" w:vertAnchor="text" w:horzAnchor="margin" w:tblpXSpec="center" w:tblpY="378"/>
        <w:tblW w:w="14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4001"/>
        <w:gridCol w:w="555"/>
        <w:gridCol w:w="3615"/>
        <w:gridCol w:w="2940"/>
        <w:gridCol w:w="1170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考核内容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主要观测点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领导干部切实履行“一岗双责”，班子成员对党风廉政建设有明确的责任分工和要求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查看会议纪录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党政一把手重视党风廉政工作，开展廉洁谈话，落实主体责任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会议记录不规范，决策程序不符合要求、一把手没有开展廉洁谈话扣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</w:t>
            </w:r>
          </w:p>
        </w:tc>
        <w:tc>
          <w:tcPr>
            <w:tcW w:w="400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领导干部坚持述职述责述廉，履行《廉政承诺书》，做到廉洁自律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领导干部年初按要求填写《廉政承诺书》，并交至纪委办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未交廉政承诺书每缺一人扣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年底按要求将部门党风廉政执行情况自查报告和处级干部</w:t>
            </w:r>
            <w:r>
              <w:rPr>
                <w:rFonts w:hint="eastAsia" w:ascii="仿宋" w:hAnsi="仿宋" w:eastAsia="仿宋"/>
                <w:sz w:val="24"/>
              </w:rPr>
              <w:t>述廉述责报告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交至纪委办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未交述责述廉报告每缺一人扣1分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未交自查报告扣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</w:t>
            </w:r>
          </w:p>
        </w:tc>
        <w:tc>
          <w:tcPr>
            <w:tcW w:w="400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严格遵守纪律和规矩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20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按学院要求组织学习宣传党的方针、政策和党纪条规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没按要求学习的每少一次扣2分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(6)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本单位（部门）党员干部及职工没有受到违纪违规组织处理或纪律处分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因违规违纪受到组织处理的扣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分，受到纪律处分的扣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(7)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在学院组织的各类考查、督查及考勤等工作中，没有受到通报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每通报</w:t>
            </w: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严格执行党务、院务、处务公开制度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(8)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制度执行不严格不到位扣</w:t>
            </w:r>
            <w:r>
              <w:rPr>
                <w:rFonts w:ascii="仿宋" w:hAnsi="仿宋" w:eastAsia="仿宋" w:cs="宋体"/>
                <w:kern w:val="0"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严格执行学院关于二级单位“三重一大”集体决策制度，办事程序规范，重大事项能集体决策并及时报告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(9)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制度执行不严格、不到位、工作程序不规范扣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6</w:t>
            </w:r>
          </w:p>
        </w:tc>
        <w:tc>
          <w:tcPr>
            <w:tcW w:w="4001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、积极配合学院开展三个专项整治（党风廉政建设突出问题、“雁过拔毛”、“治陋习、树新风”）</w:t>
            </w:r>
          </w:p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、加强党风廉政建设，根据本单位情况，出台相关制度，坚持为师生服务办实事，严防损害群众利益行为的发生，主动发现问题并加以纠正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18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(10)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及时按要求报送专项整治工作材料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不及时报送的每次扣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0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自己没有发现问题并纠正，被学院纪委或上级监察检查发现问题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每发现一起扣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分，对发现问题受到查处的按第（</w:t>
            </w: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）项扣分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7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党员干部严格执行中央“八项规定”和省委九条规定精神，严格执行《个人重大事项报告制度》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12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查看相关资料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本单位党员干部没有及时报告或报告不实的每人次扣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开展形式多样的廉洁、警示教育活动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未开展或开展效果不好的扣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1-4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9</w:t>
            </w:r>
          </w:p>
        </w:tc>
        <w:tc>
          <w:tcPr>
            <w:tcW w:w="400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加强党风廉政宣传，全年向学院纪委办报送党风廉政宣传稿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篇并被采用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4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每少一篇扣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4001" w:type="dxa"/>
            <w:vAlign w:val="center"/>
          </w:tcPr>
          <w:p>
            <w:pPr>
              <w:snapToGrid w:val="0"/>
              <w:spacing w:line="280" w:lineRule="exact"/>
              <w:textAlignment w:val="baseline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按纪委办要求按时报送相关工作情况和资料，办结和回复交办的工作任务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61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40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未及时报送资料、未按时完成工作任务的每次扣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分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见纪委办台帐</w:t>
            </w:r>
          </w:p>
        </w:tc>
        <w:tc>
          <w:tcPr>
            <w:tcW w:w="1242" w:type="dxa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882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lang w:eastAsia="zh-CN"/>
              </w:rPr>
              <w:t>自评总得分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871"/>
    <w:rsid w:val="000163B6"/>
    <w:rsid w:val="00034716"/>
    <w:rsid w:val="00083584"/>
    <w:rsid w:val="000B2559"/>
    <w:rsid w:val="000F0743"/>
    <w:rsid w:val="00101CE5"/>
    <w:rsid w:val="001257A1"/>
    <w:rsid w:val="00167329"/>
    <w:rsid w:val="001B263B"/>
    <w:rsid w:val="001F0CF1"/>
    <w:rsid w:val="00230643"/>
    <w:rsid w:val="002457C9"/>
    <w:rsid w:val="00257F2C"/>
    <w:rsid w:val="002607AF"/>
    <w:rsid w:val="002744B3"/>
    <w:rsid w:val="00291520"/>
    <w:rsid w:val="002A7C2F"/>
    <w:rsid w:val="002E2E5B"/>
    <w:rsid w:val="00333021"/>
    <w:rsid w:val="003603C8"/>
    <w:rsid w:val="003B6B14"/>
    <w:rsid w:val="003F6AF1"/>
    <w:rsid w:val="0040221A"/>
    <w:rsid w:val="0043198E"/>
    <w:rsid w:val="00456A48"/>
    <w:rsid w:val="004D749E"/>
    <w:rsid w:val="004F3267"/>
    <w:rsid w:val="00524AFC"/>
    <w:rsid w:val="00526571"/>
    <w:rsid w:val="005750D2"/>
    <w:rsid w:val="00591E93"/>
    <w:rsid w:val="005B6772"/>
    <w:rsid w:val="006509F6"/>
    <w:rsid w:val="0066075F"/>
    <w:rsid w:val="00694381"/>
    <w:rsid w:val="006C62EA"/>
    <w:rsid w:val="00700988"/>
    <w:rsid w:val="0072019F"/>
    <w:rsid w:val="00733C87"/>
    <w:rsid w:val="0074535E"/>
    <w:rsid w:val="00772050"/>
    <w:rsid w:val="00776F29"/>
    <w:rsid w:val="007818F8"/>
    <w:rsid w:val="007D1A71"/>
    <w:rsid w:val="0084378F"/>
    <w:rsid w:val="00847B8B"/>
    <w:rsid w:val="00847BC0"/>
    <w:rsid w:val="008A5E5D"/>
    <w:rsid w:val="009220D9"/>
    <w:rsid w:val="009517DA"/>
    <w:rsid w:val="00961E64"/>
    <w:rsid w:val="009749B9"/>
    <w:rsid w:val="009E1A08"/>
    <w:rsid w:val="00A55E76"/>
    <w:rsid w:val="00A84CD9"/>
    <w:rsid w:val="00B21A18"/>
    <w:rsid w:val="00BE6746"/>
    <w:rsid w:val="00BF198B"/>
    <w:rsid w:val="00C00815"/>
    <w:rsid w:val="00C348B9"/>
    <w:rsid w:val="00C60712"/>
    <w:rsid w:val="00CE3871"/>
    <w:rsid w:val="00D114E4"/>
    <w:rsid w:val="00D456B5"/>
    <w:rsid w:val="00DA16AE"/>
    <w:rsid w:val="00DA2973"/>
    <w:rsid w:val="00E001C1"/>
    <w:rsid w:val="00E13533"/>
    <w:rsid w:val="00E261A6"/>
    <w:rsid w:val="00E641FE"/>
    <w:rsid w:val="00E7612F"/>
    <w:rsid w:val="00E93E71"/>
    <w:rsid w:val="00EB2DAA"/>
    <w:rsid w:val="00ED33BA"/>
    <w:rsid w:val="00EE7E67"/>
    <w:rsid w:val="00F01A9B"/>
    <w:rsid w:val="00FB0998"/>
    <w:rsid w:val="00FB1B56"/>
    <w:rsid w:val="00FC46BA"/>
    <w:rsid w:val="081C66C2"/>
    <w:rsid w:val="0B901CF8"/>
    <w:rsid w:val="3EB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1021</Characters>
  <Lines>8</Lines>
  <Paragraphs>2</Paragraphs>
  <ScaleCrop>false</ScaleCrop>
  <LinksUpToDate>false</LinksUpToDate>
  <CharactersWithSpaces>1198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2017-03-06T00:35:00Z</dcterms:created>
  <dc:creator>lenovo</dc:creator>
  <cp:lastModifiedBy>漠边</cp:lastModifiedBy>
  <cp:lastPrinted>2017-03-08T06:44:00Z</cp:lastPrinted>
  <dcterms:modified xsi:type="dcterms:W3CDTF">2017-12-03T03:34:16Z</dcterms:modified>
  <dc:title>2017年学院二级单位党风廉政建设考核内容及要求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