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ascii="黑体" w:hAnsi="黑体" w:eastAsia="黑体"/>
          <w:sz w:val="32"/>
          <w:szCs w:val="30"/>
        </w:rPr>
        <w:t>附件</w:t>
      </w:r>
      <w:r>
        <w:rPr>
          <w:rFonts w:ascii="黑体" w:hAnsi="黑体" w:eastAsia="黑体"/>
          <w:sz w:val="32"/>
          <w:szCs w:val="30"/>
        </w:rPr>
        <w:t>1</w:t>
      </w:r>
    </w:p>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bookmarkStart w:id="0" w:name="_GoBack"/>
      <w:r>
        <w:rPr>
          <w:rFonts w:eastAsia="方正小标宋简体"/>
          <w:sz w:val="36"/>
          <w:szCs w:val="30"/>
        </w:rPr>
        <w:t>高</w:t>
      </w:r>
      <w:r>
        <w:rPr>
          <w:rFonts w:hint="eastAsia" w:eastAsia="方正小标宋简体"/>
          <w:sz w:val="36"/>
          <w:szCs w:val="30"/>
        </w:rPr>
        <w:t>等</w:t>
      </w:r>
      <w:r>
        <w:rPr>
          <w:rFonts w:eastAsia="方正小标宋简体"/>
          <w:sz w:val="36"/>
          <w:szCs w:val="30"/>
        </w:rPr>
        <w:t>学校实验室安全检查项目</w:t>
      </w:r>
      <w:r>
        <w:rPr>
          <w:rFonts w:hint="eastAsia" w:eastAsia="方正小标宋简体"/>
          <w:sz w:val="36"/>
          <w:szCs w:val="30"/>
        </w:rPr>
        <w:t>表</w:t>
      </w:r>
      <w:r>
        <w:rPr>
          <w:rFonts w:eastAsia="方正小标宋简体"/>
          <w:sz w:val="36"/>
          <w:szCs w:val="30"/>
        </w:rPr>
        <w:t>（2019）</w:t>
      </w:r>
      <w:bookmarkEnd w:id="0"/>
    </w:p>
    <w:tbl>
      <w:tblPr>
        <w:tblStyle w:val="3"/>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1.1.1</w:t>
            </w:r>
          </w:p>
        </w:tc>
        <w:tc>
          <w:tcPr>
            <w:tcW w:w="3820" w:type="dxa"/>
            <w:shd w:val="clear" w:color="auto" w:fill="auto"/>
            <w:noWrap w:val="0"/>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1.1.2</w:t>
            </w:r>
          </w:p>
        </w:tc>
        <w:tc>
          <w:tcPr>
            <w:tcW w:w="3820"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shd w:val="clear" w:color="auto" w:fill="auto"/>
            <w:noWrap w:val="0"/>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查财务证据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Cs/>
                <w:kern w:val="0"/>
                <w:szCs w:val="21"/>
              </w:rPr>
              <w:t>查财务证据</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建议</w:t>
            </w: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1.4.2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建立完整的实验室安全工作档案</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shd w:val="clear" w:color="auto" w:fill="auto"/>
            <w:noWrap w:val="0"/>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有各类实验室安全管理细则</w:t>
            </w:r>
          </w:p>
        </w:tc>
        <w:tc>
          <w:tcPr>
            <w:tcW w:w="7374" w:type="dxa"/>
            <w:vMerge w:val="continue"/>
            <w:shd w:val="clear" w:color="auto" w:fill="auto"/>
            <w:noWrap w:val="0"/>
            <w:tcMar>
              <w:left w:w="45" w:type="dxa"/>
              <w:right w:w="45" w:type="dxa"/>
            </w:tcMar>
            <w:vAlign w:val="center"/>
          </w:tcPr>
          <w:p>
            <w:pPr>
              <w:spacing w:line="300" w:lineRule="exact"/>
              <w:rPr>
                <w:bCs/>
                <w:kern w:val="0"/>
                <w:szCs w:val="21"/>
              </w:rPr>
            </w:pP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有各类院系级实验安全管理制度</w:t>
            </w:r>
          </w:p>
        </w:tc>
        <w:tc>
          <w:tcPr>
            <w:tcW w:w="7374" w:type="dxa"/>
            <w:shd w:val="clear" w:color="auto" w:fill="auto"/>
            <w:noWrap w:val="0"/>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逐步开设实验室安全必修课或选修课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shd w:val="clear" w:color="auto" w:fill="auto"/>
            <w:noWrap w:val="0"/>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shd w:val="clear" w:color="auto" w:fill="auto"/>
            <w:noWrap w:val="0"/>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建设适合学校特色的安全文化</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r>
              <w:rPr>
                <w:rFonts w:hint="eastAsia"/>
                <w:kern w:val="0"/>
                <w:szCs w:val="21"/>
              </w:rPr>
              <w:t>方式，加强安全宣传</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建议每年不少于4次，并记录存档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shd w:val="clear" w:color="auto" w:fill="auto"/>
            <w:noWrap w:val="0"/>
            <w:tcMar>
              <w:left w:w="45" w:type="dxa"/>
              <w:right w:w="45" w:type="dxa"/>
            </w:tcMar>
            <w:vAlign w:val="center"/>
          </w:tcPr>
          <w:p>
            <w:pPr>
              <w:spacing w:line="300" w:lineRule="exact"/>
              <w:jc w:val="left"/>
              <w:rPr>
                <w:bCs/>
                <w:kern w:val="0"/>
                <w:szCs w:val="21"/>
              </w:rPr>
            </w:pPr>
            <w:r>
              <w:rPr>
                <w:rFonts w:hint="eastAsia"/>
                <w:kern w:val="0"/>
                <w:szCs w:val="21"/>
              </w:rPr>
              <w:t>建议每月不少于1次，并记录存档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shd w:val="clear" w:color="auto" w:fill="auto"/>
            <w:noWrap w:val="0"/>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有危险源的实验场所应张贴安全信息牌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平方米以上实验室要有两扇门；实验楼大走廊保证留有大于2.0米净宽的消防通道；实验室</w:t>
            </w:r>
            <w:r>
              <w:rPr>
                <w:szCs w:val="21"/>
              </w:rPr>
              <w:t>操作区层高不低于</w:t>
            </w:r>
            <w:r>
              <w:rPr>
                <w:rFonts w:hint="eastAsia"/>
                <w:szCs w:val="21"/>
              </w:rPr>
              <w:t>2米；理工农医类实验室人均面积不小于2.5平方米</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shd w:val="clear" w:color="auto" w:fill="auto"/>
            <w:noWrap w:val="0"/>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noWrap w:val="0"/>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5.1.6</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实验设备需做好振动和噪音的屏蔽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容易产生振动的设备，需考虑振动源的屏蔽；易对外产生磁场或易受磁场干扰的设备，需做好磁屏蔽；实验室噪声一般低于55分贝（机械设备可低于70分贝）</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shd w:val="clear" w:color="auto" w:fill="auto"/>
            <w:noWrap w:val="0"/>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不在实验室睡觉过夜，不存放和烧煮食物、饮食，化学生物类实验室不准吸烟、使用可燃性蚊香</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shd w:val="clear" w:color="auto" w:fill="auto"/>
            <w:noWrap w:val="0"/>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bCs/>
                <w:szCs w:val="21"/>
              </w:rPr>
              <w:t>实验期间人员必须在岗，并有值日情况记录</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实验室内烟感</w:t>
            </w:r>
            <w:r>
              <w:rPr>
                <w:rFonts w:ascii="宋体" w:hAnsi="宋体"/>
                <w:kern w:val="0"/>
                <w:szCs w:val="21"/>
              </w:rPr>
              <w:t>报警器、</w:t>
            </w:r>
            <w:r>
              <w:rPr>
                <w:rFonts w:hint="eastAsia" w:ascii="宋体" w:hAnsi="宋体"/>
                <w:kern w:val="0"/>
                <w:szCs w:val="21"/>
              </w:rPr>
              <w:t>灭火器、灭火毯、消防沙桶、消防喷淋等，应正常有效、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r>
              <w:rPr>
                <w:rFonts w:ascii="宋体" w:hAnsi="宋体"/>
                <w:bCs/>
                <w:kern w:val="0"/>
                <w:szCs w:val="21"/>
              </w:rPr>
              <w:t>公共</w:t>
            </w:r>
            <w:r>
              <w:rPr>
                <w:rFonts w:hint="eastAsia" w:ascii="宋体" w:hAnsi="宋体"/>
                <w:bCs/>
                <w:kern w:val="0"/>
                <w:szCs w:val="21"/>
              </w:rPr>
              <w:t>区域</w:t>
            </w:r>
            <w:r>
              <w:rPr>
                <w:rFonts w:ascii="宋体" w:hAnsi="宋体"/>
                <w:bCs/>
                <w:kern w:val="0"/>
                <w:szCs w:val="21"/>
              </w:rPr>
              <w:t>灭火器数量</w:t>
            </w:r>
            <w:r>
              <w:rPr>
                <w:rFonts w:hint="eastAsia" w:ascii="宋体" w:hAnsi="宋体"/>
                <w:bCs/>
                <w:kern w:val="0"/>
                <w:szCs w:val="21"/>
              </w:rPr>
              <w:t>（间距）</w:t>
            </w:r>
            <w:r>
              <w:rPr>
                <w:rFonts w:ascii="宋体" w:hAnsi="宋体"/>
                <w:bCs/>
                <w:kern w:val="0"/>
                <w:szCs w:val="21"/>
              </w:rPr>
              <w:t>与</w:t>
            </w:r>
            <w:r>
              <w:rPr>
                <w:rFonts w:hint="eastAsia" w:ascii="宋体" w:hAnsi="宋体"/>
                <w:bCs/>
                <w:kern w:val="0"/>
                <w:szCs w:val="21"/>
              </w:rPr>
              <w:t>实验室</w:t>
            </w:r>
            <w:r>
              <w:rPr>
                <w:rFonts w:ascii="宋体" w:hAnsi="宋体"/>
                <w:bCs/>
                <w:kern w:val="0"/>
                <w:szCs w:val="21"/>
              </w:rPr>
              <w:t>安全等级</w:t>
            </w:r>
            <w:r>
              <w:rPr>
                <w:rFonts w:hint="eastAsia" w:ascii="宋体" w:hAnsi="宋体"/>
                <w:bCs/>
                <w:kern w:val="0"/>
                <w:szCs w:val="21"/>
              </w:rPr>
              <w:t>相</w:t>
            </w:r>
            <w:r>
              <w:rPr>
                <w:rFonts w:ascii="宋体" w:hAnsi="宋体"/>
                <w:bCs/>
                <w:kern w:val="0"/>
                <w:szCs w:val="21"/>
              </w:rPr>
              <w:t>适应</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在显著位置张贴有紧急逃生疏散路线图</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-10cm），</w:t>
            </w:r>
            <w:r>
              <w:rPr>
                <w:rFonts w:hint="eastAsia" w:ascii="宋体" w:hAnsi="宋体"/>
                <w:bCs/>
                <w:kern w:val="0"/>
                <w:szCs w:val="21"/>
              </w:rPr>
              <w:t>水流畅通平稳</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6.2.3</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6.3.1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 xml:space="preserve">配备符合要求的通风系统 </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m/s，定期进行维护、检修；</w:t>
            </w:r>
            <w:r>
              <w:rPr>
                <w:rFonts w:ascii="宋体" w:hAnsi="宋体"/>
                <w:kern w:val="0"/>
                <w:szCs w:val="21"/>
              </w:rPr>
              <w:t>屋顶风机固定无松动、无异常噪声</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6.3.2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15cm，保持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应距离调节门内侧15cm左右，以免</w:t>
            </w:r>
            <w:r>
              <w:rPr>
                <w:rFonts w:ascii="宋体" w:hAnsi="宋体"/>
                <w:kern w:val="0"/>
                <w:szCs w:val="21"/>
              </w:rPr>
              <w:t>掉落</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6.4.1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重点关注剧毒品、病原微生物、特种设备和放射源存放点等危险源的管理</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6.4.2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6.5.1</w:t>
            </w:r>
          </w:p>
        </w:tc>
        <w:tc>
          <w:tcPr>
            <w:tcW w:w="3820" w:type="dxa"/>
            <w:shd w:val="clear" w:color="auto" w:fill="auto"/>
            <w:noWrap w:val="0"/>
            <w:tcMar>
              <w:left w:w="45" w:type="dxa"/>
              <w:right w:w="45" w:type="dxa"/>
            </w:tcMar>
            <w:vAlign w:val="center"/>
          </w:tcPr>
          <w:p>
            <w:pPr>
              <w:spacing w:line="300" w:lineRule="exact"/>
              <w:rPr>
                <w:rFonts w:ascii="宋体" w:hAnsi="宋体"/>
                <w:szCs w:val="21"/>
              </w:rPr>
            </w:pPr>
            <w:r>
              <w:rPr>
                <w:rFonts w:hint="eastAsia" w:ascii="宋体" w:hAnsi="宋体"/>
                <w:szCs w:val="21"/>
              </w:rPr>
              <w:t>防爆实验室需符合防爆设计要求</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noWrap w:val="0"/>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6.5.2</w:t>
            </w:r>
          </w:p>
        </w:tc>
        <w:tc>
          <w:tcPr>
            <w:tcW w:w="3820" w:type="dxa"/>
            <w:shd w:val="clear" w:color="auto" w:fill="auto"/>
            <w:noWrap w:val="0"/>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noWrap w:val="0"/>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进排水系统布置合理，运行正常</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；穿着化学、生物类实验服或带实验手套，不得随意出入非实验区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个人防护用具分散存放，并有明显标识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shd w:val="clear" w:color="auto" w:fill="auto"/>
            <w:noWrap w:val="0"/>
            <w:tcMar>
              <w:left w:w="45" w:type="dxa"/>
              <w:right w:w="45" w:type="dxa"/>
            </w:tcMar>
            <w:vAlign w:val="center"/>
          </w:tcPr>
          <w:p>
            <w:pPr>
              <w:spacing w:line="300" w:lineRule="exact"/>
              <w:jc w:val="left"/>
              <w:rPr>
                <w:kern w:val="0"/>
                <w:szCs w:val="21"/>
              </w:rPr>
            </w:pPr>
            <w:r>
              <w:rPr>
                <w:kern w:val="0"/>
                <w:szCs w:val="21"/>
              </w:rPr>
              <w:t>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7374"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shd w:val="clear" w:color="auto" w:fill="auto"/>
            <w:noWrap w:val="0"/>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shd w:val="clear" w:color="auto" w:fill="auto"/>
            <w:noWrap w:val="0"/>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shd w:val="clear" w:color="auto" w:fill="auto"/>
            <w:noWrap w:val="0"/>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shd w:val="clear" w:color="auto" w:fill="auto"/>
            <w:noWrap w:val="0"/>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8.2.1</w:t>
            </w:r>
          </w:p>
        </w:tc>
        <w:tc>
          <w:tcPr>
            <w:tcW w:w="3820" w:type="dxa"/>
            <w:shd w:val="clear" w:color="auto" w:fill="auto"/>
            <w:noWrap w:val="0"/>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auto"/>
            <w:noWrap w:val="0"/>
            <w:tcMar>
              <w:left w:w="45" w:type="dxa"/>
              <w:right w:w="45" w:type="dxa"/>
            </w:tcMar>
            <w:vAlign w:val="center"/>
          </w:tcPr>
          <w:p>
            <w:pPr>
              <w:widowControl/>
              <w:spacing w:line="300" w:lineRule="exact"/>
              <w:rPr>
                <w:szCs w:val="21"/>
              </w:rPr>
            </w:pPr>
            <w:r>
              <w:rPr>
                <w:rFonts w:hint="eastAsia"/>
                <w:szCs w:val="21"/>
              </w:rPr>
              <w:t>试剂药品有专用存放空间并科学有序存放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不应超过100L或100kg，其中易燃易爆性化学品的存放总量不应超过50L 或50kg，且单一包装容器不应大于20L或20kg；</w:t>
            </w:r>
            <w:r>
              <w:rPr>
                <w:kern w:val="0"/>
                <w:szCs w:val="21"/>
              </w:rPr>
              <w:t>单个实验装置存在10L以上甲类物质储罐，或20L以上乙类物质储罐，或50L以上丙类物质储罐，需加装泄露报警器及通风联动装置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化学品标签应有显著完整清晰</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做好有毒和异味废气的收集和防护</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管控类化学品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shd w:val="clear" w:color="auto" w:fill="auto"/>
            <w:noWrap w:val="0"/>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学校有统一的试剂标签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盛放配置试剂的烧杯、烧瓶不得无盖放置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shd w:val="clear" w:color="auto" w:fill="auto"/>
            <w:noWrap w:val="0"/>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9.7.1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9.7.2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10.1.1</w:t>
            </w:r>
          </w:p>
        </w:tc>
        <w:tc>
          <w:tcPr>
            <w:tcW w:w="3820" w:type="dxa"/>
            <w:shd w:val="clear" w:color="auto" w:fill="auto"/>
            <w:noWrap w:val="0"/>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重点关注</w:t>
            </w:r>
            <w:r>
              <w:rPr>
                <w:kern w:val="0"/>
                <w:szCs w:val="21"/>
              </w:rPr>
              <w:t>Г辐照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仪器设备的接电和用电符合相关要求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仪器设备接地系统应按规范要求，采用铜质材料，且设计寿命不应低于50年，接地电阻不高于0.5欧；电脑、空调、电加热器、饮水机等不随意开机过夜；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11.1.4</w:t>
            </w:r>
          </w:p>
        </w:tc>
        <w:tc>
          <w:tcPr>
            <w:tcW w:w="3820" w:type="dxa"/>
            <w:shd w:val="clear" w:color="auto" w:fill="auto"/>
            <w:noWrap w:val="0"/>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自研自制设备时，须充分考虑安全系数，并有安全防护措施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关注要点：机床应保持清洁整齐；严禁在床头、床面、刀架上放一切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等配饰物，禁穿拖鞋、高跟鞋等；设备在运转时，严禁用手调整；禁止操作人员的身体任一部位进入危险区，如需调整应首先关停机械设备</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C以上，锻锤空置时应垫有木块</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szCs w:val="21"/>
              </w:rPr>
            </w:pPr>
            <w:r>
              <w:rPr>
                <w:rFonts w:hint="eastAsia"/>
                <w:kern w:val="0"/>
                <w:szCs w:val="21"/>
              </w:rPr>
              <w:t>11.2.4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关注要点：电气设备所用的保险丝(管)的额定电流应与其负荷容量相适应，无用其它金属线代替保险丝(片)现象；各种电器设备及电线应始终保持干燥，防止浸湿，以防短路引起火灾或烧坏电气设备；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禁用干粉、水剂型和泡沫型灭火器；粉尘浓度较高的场所，有加湿装置（喷雾）使湿度在65%以上</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起重机械需定期保养，设置警示标示，安装防护设施</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大型实验气体罐的存储场所应通风、干燥、防止雨（雪）淋、水浸，避免阳光直射，严禁明火和其它热源；大型实验气体（窒息、可燃类）罐必须放置在室外，周围设置隔离装置、安全警示标识；可燃性性</w:t>
            </w:r>
            <w:r>
              <w:rPr>
                <w:kern w:val="0"/>
                <w:szCs w:val="21"/>
              </w:rPr>
              <w:t>气罐远离火源热源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noWrap w:val="0"/>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sectPr>
          <w:pgSz w:w="16838" w:h="11906" w:orient="landscape"/>
          <w:pgMar w:top="1531" w:right="2098" w:bottom="1531" w:left="1985"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42EE5"/>
    <w:rsid w:val="44742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2019-05-06T23:49:00Z</dcterms:created>
  <dc:creator>hjx</dc:creator>
  <cp:lastModifiedBy>hjx</cp:lastModifiedBy>
  <dcterms:modified xsi:type="dcterms:W3CDTF">2019-05-06T23:50:03Z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